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335" w:rsidRPr="005D0030" w:rsidRDefault="00262335" w:rsidP="00262335">
      <w:pPr>
        <w:pStyle w:val="Nadpis1"/>
        <w:rPr>
          <w:sz w:val="28"/>
          <w:szCs w:val="28"/>
        </w:rPr>
      </w:pPr>
      <w:r w:rsidRPr="005D0030">
        <w:rPr>
          <w:sz w:val="28"/>
          <w:szCs w:val="28"/>
        </w:rPr>
        <w:t>Smlouva</w:t>
      </w:r>
      <w:r>
        <w:rPr>
          <w:sz w:val="28"/>
          <w:szCs w:val="28"/>
        </w:rPr>
        <w:t xml:space="preserve"> </w:t>
      </w:r>
      <w:r w:rsidRPr="005D0030">
        <w:rPr>
          <w:sz w:val="28"/>
          <w:szCs w:val="28"/>
        </w:rPr>
        <w:t>o poskytování služeb č. ………………………</w:t>
      </w:r>
      <w:r w:rsidR="00537F94">
        <w:rPr>
          <w:sz w:val="28"/>
          <w:szCs w:val="28"/>
        </w:rPr>
        <w:t>-návrh</w:t>
      </w:r>
    </w:p>
    <w:p w:rsidR="00262335" w:rsidRPr="005D0030" w:rsidRDefault="00262335" w:rsidP="00262335">
      <w:pPr>
        <w:spacing w:before="96"/>
        <w:jc w:val="center"/>
        <w:rPr>
          <w:rFonts w:cs="Arial"/>
          <w:i/>
          <w:iCs/>
        </w:rPr>
      </w:pPr>
      <w:r w:rsidRPr="005D0030">
        <w:rPr>
          <w:rFonts w:cs="Arial"/>
          <w:i/>
          <w:iCs/>
        </w:rPr>
        <w:t>uzavřená podle ustanovení § 1746 odst. 2 zákona č. 89/2012 Sb., občanský zákoník, ve znění pozdějších předpisů</w:t>
      </w:r>
    </w:p>
    <w:p w:rsidR="00262335" w:rsidRPr="005E4C70" w:rsidRDefault="00262335" w:rsidP="00262335">
      <w:pPr>
        <w:spacing w:before="96"/>
        <w:jc w:val="center"/>
        <w:rPr>
          <w:rFonts w:cs="Arial"/>
          <w:iCs/>
        </w:rPr>
      </w:pPr>
    </w:p>
    <w:p w:rsidR="00262335" w:rsidRPr="005E4C70" w:rsidRDefault="00262335" w:rsidP="00262335">
      <w:pPr>
        <w:spacing w:before="96"/>
        <w:rPr>
          <w:rFonts w:cs="Arial"/>
        </w:rPr>
      </w:pPr>
      <w:r w:rsidRPr="005E4C70">
        <w:rPr>
          <w:rFonts w:cs="Arial"/>
        </w:rPr>
        <w:t>Evidenční číslo veřejné zakázky ve věstníku veřejných zakázek:</w:t>
      </w:r>
      <w:r w:rsidR="009E42F4" w:rsidRPr="005E4C70">
        <w:rPr>
          <w:rFonts w:cs="Arial"/>
        </w:rPr>
        <w:t xml:space="preserve"> </w:t>
      </w:r>
      <w:r w:rsidR="00BA5845" w:rsidRPr="005E4C70">
        <w:rPr>
          <w:rFonts w:cs="Arial"/>
          <w:b/>
        </w:rPr>
        <w:t>65020112</w:t>
      </w:r>
    </w:p>
    <w:p w:rsidR="00262335" w:rsidRPr="005D0030" w:rsidRDefault="00262335" w:rsidP="00262335">
      <w:pPr>
        <w:spacing w:before="96"/>
        <w:rPr>
          <w:rFonts w:cs="Arial"/>
        </w:rPr>
      </w:pPr>
    </w:p>
    <w:p w:rsidR="00262335" w:rsidRPr="005D0030" w:rsidRDefault="00262335" w:rsidP="00262335">
      <w:pPr>
        <w:spacing w:before="96"/>
        <w:rPr>
          <w:rFonts w:cs="Arial"/>
          <w:b/>
        </w:rPr>
      </w:pPr>
      <w:r w:rsidRPr="005D0030">
        <w:rPr>
          <w:rFonts w:cs="Arial"/>
          <w:b/>
        </w:rPr>
        <w:t>Objednatel:</w:t>
      </w:r>
    </w:p>
    <w:p w:rsidR="00262335" w:rsidRPr="005D0030" w:rsidRDefault="00262335" w:rsidP="00262335">
      <w:pPr>
        <w:spacing w:before="96" w:after="0" w:line="240" w:lineRule="auto"/>
        <w:rPr>
          <w:rFonts w:cs="Arial"/>
          <w:b/>
        </w:rPr>
      </w:pPr>
      <w:r w:rsidRPr="005D0030">
        <w:rPr>
          <w:rFonts w:cs="Arial"/>
          <w:b/>
        </w:rPr>
        <w:t>Správa železnic, státní organizace</w:t>
      </w:r>
      <w:bookmarkStart w:id="0" w:name="_GoBack"/>
      <w:bookmarkEnd w:id="0"/>
    </w:p>
    <w:p w:rsidR="00262335" w:rsidRPr="005D0030" w:rsidRDefault="00262335" w:rsidP="00262335">
      <w:pPr>
        <w:spacing w:before="96" w:after="0" w:line="240" w:lineRule="auto"/>
        <w:rPr>
          <w:rFonts w:cs="Arial"/>
        </w:rPr>
      </w:pPr>
      <w:r w:rsidRPr="005D0030">
        <w:rPr>
          <w:rFonts w:cs="Arial"/>
        </w:rPr>
        <w:t>zapsaná v obchodním rejstříku vedeném Městským soudem v Praze oddíl A, vložka 48384</w:t>
      </w:r>
    </w:p>
    <w:p w:rsidR="00262335" w:rsidRPr="005D0030" w:rsidRDefault="00262335" w:rsidP="00262335">
      <w:pPr>
        <w:spacing w:before="96" w:after="0" w:line="240" w:lineRule="auto"/>
        <w:rPr>
          <w:rFonts w:cs="Arial"/>
        </w:rPr>
      </w:pPr>
      <w:r w:rsidRPr="005D0030">
        <w:rPr>
          <w:rFonts w:cs="Arial"/>
        </w:rPr>
        <w:t>Praha 1 - Nové Město, Dlážděná 1003/7, PSČ 110 00</w:t>
      </w:r>
    </w:p>
    <w:p w:rsidR="00262335" w:rsidRPr="005D0030" w:rsidRDefault="00262335" w:rsidP="00262335">
      <w:pPr>
        <w:spacing w:before="96" w:after="0" w:line="240" w:lineRule="auto"/>
        <w:rPr>
          <w:rFonts w:cs="Arial"/>
        </w:rPr>
      </w:pPr>
      <w:r w:rsidRPr="005D0030">
        <w:rPr>
          <w:rFonts w:cs="Arial"/>
        </w:rPr>
        <w:t>IČO 70994234, DIČ CZ70994234</w:t>
      </w:r>
    </w:p>
    <w:p w:rsidR="00262335" w:rsidRPr="005D0030" w:rsidRDefault="00262335" w:rsidP="00262335">
      <w:pPr>
        <w:spacing w:before="96" w:after="0" w:line="240" w:lineRule="auto"/>
        <w:ind w:left="425" w:hanging="425"/>
        <w:rPr>
          <w:rFonts w:cs="Arial"/>
        </w:rPr>
      </w:pPr>
      <w:r w:rsidRPr="005D0030">
        <w:rPr>
          <w:rFonts w:cs="Arial"/>
        </w:rPr>
        <w:t>Organizační jednotka</w:t>
      </w:r>
    </w:p>
    <w:p w:rsidR="00262335" w:rsidRPr="005D0030" w:rsidRDefault="00262335" w:rsidP="00262335">
      <w:pPr>
        <w:spacing w:before="96" w:after="0" w:line="240" w:lineRule="auto"/>
        <w:rPr>
          <w:rFonts w:cs="Arial"/>
          <w:b/>
        </w:rPr>
      </w:pPr>
      <w:r w:rsidRPr="005D0030">
        <w:rPr>
          <w:rFonts w:cs="Arial"/>
          <w:b/>
        </w:rPr>
        <w:t>Oblastní ředitelství Ústí nad Labem, Železničářská 1386/31, 400 03 Ústí nad Labem</w:t>
      </w:r>
    </w:p>
    <w:p w:rsidR="00262335" w:rsidRPr="005D0030" w:rsidRDefault="00262335" w:rsidP="00262335">
      <w:pPr>
        <w:spacing w:before="96" w:after="0" w:line="240" w:lineRule="auto"/>
        <w:rPr>
          <w:rFonts w:cs="Arial"/>
        </w:rPr>
      </w:pPr>
      <w:r w:rsidRPr="005D0030">
        <w:rPr>
          <w:rFonts w:cs="Arial"/>
        </w:rPr>
        <w:t>Zastoupená ředitelem Oblastního ředitelství Ústí nad Labem Ing. Martinem Kašparem</w:t>
      </w:r>
    </w:p>
    <w:p w:rsidR="00262335" w:rsidRPr="005D0030" w:rsidRDefault="00262335" w:rsidP="00262335">
      <w:pPr>
        <w:shd w:val="clear" w:color="auto" w:fill="FFFFFF"/>
        <w:spacing w:before="96" w:after="0" w:line="240" w:lineRule="auto"/>
        <w:jc w:val="both"/>
        <w:rPr>
          <w:rFonts w:cs="Arial"/>
        </w:rPr>
      </w:pPr>
      <w:r w:rsidRPr="005D0030">
        <w:rPr>
          <w:rFonts w:cs="Arial"/>
        </w:rPr>
        <w:t>bankovní spojení: Česká národní banka v Ústí nad Labem, číslo účtu: 704411/0710</w:t>
      </w:r>
    </w:p>
    <w:p w:rsidR="00262335" w:rsidRPr="005D0030" w:rsidRDefault="00262335" w:rsidP="00262335">
      <w:pPr>
        <w:pStyle w:val="acnormal"/>
        <w:spacing w:after="0" w:line="240" w:lineRule="auto"/>
        <w:rPr>
          <w:rFonts w:asciiTheme="minorHAnsi" w:hAnsiTheme="minorHAnsi" w:cstheme="minorHAnsi"/>
          <w:sz w:val="18"/>
          <w:szCs w:val="18"/>
        </w:rPr>
      </w:pPr>
      <w:r w:rsidRPr="005D0030">
        <w:rPr>
          <w:rFonts w:asciiTheme="minorHAnsi" w:hAnsiTheme="minorHAnsi" w:cstheme="minorHAnsi"/>
          <w:sz w:val="18"/>
          <w:szCs w:val="18"/>
        </w:rPr>
        <w:t>Adresa pro doručování písemnosti v elektronické podobě:</w:t>
      </w:r>
      <w:r>
        <w:rPr>
          <w:rFonts w:asciiTheme="minorHAnsi" w:hAnsiTheme="minorHAnsi" w:cstheme="minorHAnsi"/>
          <w:sz w:val="18"/>
          <w:szCs w:val="18"/>
        </w:rPr>
        <w:t xml:space="preserve"> </w:t>
      </w:r>
      <w:r w:rsidRPr="00197595">
        <w:rPr>
          <w:rFonts w:asciiTheme="minorHAnsi" w:hAnsiTheme="minorHAnsi" w:cstheme="minorHAnsi"/>
          <w:b/>
          <w:sz w:val="18"/>
          <w:szCs w:val="18"/>
        </w:rPr>
        <w:t>ePodatelna</w:t>
      </w:r>
      <w:r w:rsidR="00197595" w:rsidRPr="00197595">
        <w:rPr>
          <w:rFonts w:asciiTheme="minorHAnsi" w:hAnsiTheme="minorHAnsi" w:cstheme="minorHAnsi"/>
          <w:b/>
          <w:sz w:val="18"/>
          <w:szCs w:val="18"/>
        </w:rPr>
        <w:t>ORUNL</w:t>
      </w:r>
      <w:r w:rsidRPr="00197595">
        <w:rPr>
          <w:rFonts w:asciiTheme="minorHAnsi" w:hAnsiTheme="minorHAnsi" w:cstheme="minorHAnsi"/>
          <w:b/>
          <w:sz w:val="18"/>
          <w:szCs w:val="18"/>
        </w:rPr>
        <w:t>@szdc.cz</w:t>
      </w:r>
    </w:p>
    <w:p w:rsidR="00262335" w:rsidRPr="005D0030" w:rsidRDefault="00262335" w:rsidP="00262335">
      <w:pPr>
        <w:shd w:val="clear" w:color="auto" w:fill="FFFFFF"/>
        <w:spacing w:before="96" w:after="0"/>
        <w:jc w:val="both"/>
        <w:rPr>
          <w:rFonts w:cs="Arial"/>
        </w:rPr>
      </w:pPr>
    </w:p>
    <w:p w:rsidR="00262335" w:rsidRPr="005D0030" w:rsidRDefault="00262335" w:rsidP="00262335">
      <w:pPr>
        <w:shd w:val="clear" w:color="auto" w:fill="FFFFFF"/>
        <w:spacing w:before="96" w:after="60"/>
        <w:jc w:val="both"/>
        <w:rPr>
          <w:rFonts w:cs="Arial"/>
        </w:rPr>
      </w:pPr>
      <w:r w:rsidRPr="005D0030">
        <w:rPr>
          <w:rFonts w:cs="Arial"/>
        </w:rPr>
        <w:t xml:space="preserve"> (dále jen „</w:t>
      </w:r>
      <w:r w:rsidRPr="005D0030">
        <w:rPr>
          <w:rFonts w:cs="Arial"/>
          <w:b/>
        </w:rPr>
        <w:t>objednatel</w:t>
      </w:r>
      <w:r w:rsidRPr="005D0030">
        <w:rPr>
          <w:rFonts w:cs="Arial"/>
        </w:rPr>
        <w:t>“)</w:t>
      </w:r>
    </w:p>
    <w:p w:rsidR="00262335" w:rsidRPr="005D0030" w:rsidRDefault="00262335" w:rsidP="00262335">
      <w:pPr>
        <w:tabs>
          <w:tab w:val="left" w:pos="1830"/>
        </w:tabs>
        <w:spacing w:before="96"/>
        <w:rPr>
          <w:rFonts w:cs="Arial"/>
        </w:rPr>
      </w:pPr>
    </w:p>
    <w:p w:rsidR="00262335" w:rsidRPr="005D0030" w:rsidRDefault="00262335" w:rsidP="00262335">
      <w:pPr>
        <w:tabs>
          <w:tab w:val="left" w:pos="1830"/>
        </w:tabs>
        <w:spacing w:before="96"/>
        <w:rPr>
          <w:rFonts w:cs="Arial"/>
        </w:rPr>
      </w:pPr>
    </w:p>
    <w:p w:rsidR="00262335" w:rsidRPr="005D0030" w:rsidRDefault="00262335" w:rsidP="00262335">
      <w:pPr>
        <w:spacing w:before="96"/>
        <w:rPr>
          <w:rFonts w:cs="Arial"/>
          <w:b/>
        </w:rPr>
      </w:pPr>
      <w:r w:rsidRPr="005D0030">
        <w:rPr>
          <w:rFonts w:cs="Arial"/>
          <w:b/>
        </w:rPr>
        <w:t>Poskytovatel:</w:t>
      </w:r>
    </w:p>
    <w:p w:rsidR="00262335" w:rsidRPr="005D0030" w:rsidRDefault="00262335" w:rsidP="00262335">
      <w:pPr>
        <w:spacing w:before="240" w:after="0" w:line="240" w:lineRule="auto"/>
        <w:rPr>
          <w:rFonts w:cs="Arial"/>
          <w:b/>
        </w:rPr>
      </w:pPr>
      <w:r w:rsidRPr="005D0030">
        <w:rPr>
          <w:rFonts w:cs="Arial"/>
          <w:b/>
        </w:rPr>
        <w:t>…………………………………………………………………….</w:t>
      </w:r>
    </w:p>
    <w:p w:rsidR="00262335" w:rsidRPr="005D0030" w:rsidRDefault="00262335" w:rsidP="00262335">
      <w:pPr>
        <w:spacing w:before="240" w:after="0" w:line="240" w:lineRule="auto"/>
        <w:rPr>
          <w:rFonts w:cs="Arial"/>
        </w:rPr>
      </w:pPr>
      <w:r w:rsidRPr="005D0030">
        <w:rPr>
          <w:rFonts w:cs="Arial"/>
        </w:rPr>
        <w:t>zapsaná………………………………………………</w:t>
      </w:r>
      <w:r>
        <w:rPr>
          <w:rFonts w:cs="Arial"/>
        </w:rPr>
        <w:t>……………………………….</w:t>
      </w:r>
      <w:r w:rsidRPr="005D0030">
        <w:rPr>
          <w:rFonts w:cs="Arial"/>
        </w:rPr>
        <w:t>………………………….</w:t>
      </w:r>
    </w:p>
    <w:p w:rsidR="00262335" w:rsidRPr="005D0030" w:rsidRDefault="00262335" w:rsidP="00262335">
      <w:pPr>
        <w:spacing w:before="240" w:after="0" w:line="240" w:lineRule="auto"/>
        <w:rPr>
          <w:rFonts w:cs="Arial"/>
        </w:rPr>
      </w:pPr>
      <w:r w:rsidRPr="005D0030">
        <w:rPr>
          <w:rFonts w:cs="Arial"/>
        </w:rPr>
        <w:t>Sídlo……………………………………………</w:t>
      </w:r>
      <w:r>
        <w:rPr>
          <w:rFonts w:cs="Arial"/>
        </w:rPr>
        <w:t>………………………………</w:t>
      </w:r>
      <w:r w:rsidRPr="005D0030">
        <w:rPr>
          <w:rFonts w:cs="Arial"/>
        </w:rPr>
        <w:t>……………………….………….</w:t>
      </w:r>
    </w:p>
    <w:p w:rsidR="00262335" w:rsidRPr="005D0030" w:rsidRDefault="00262335" w:rsidP="00262335">
      <w:pPr>
        <w:spacing w:before="240" w:after="0" w:line="240" w:lineRule="auto"/>
        <w:rPr>
          <w:rFonts w:cs="Arial"/>
        </w:rPr>
      </w:pPr>
      <w:r w:rsidRPr="005D0030">
        <w:rPr>
          <w:rFonts w:cs="Arial"/>
        </w:rPr>
        <w:t>IČO …………</w:t>
      </w:r>
      <w:r>
        <w:rPr>
          <w:rFonts w:cs="Arial"/>
        </w:rPr>
        <w:t>………………….</w:t>
      </w:r>
      <w:r w:rsidRPr="005D0030">
        <w:rPr>
          <w:rFonts w:cs="Arial"/>
        </w:rPr>
        <w:t>.…………………, DIČ ……………</w:t>
      </w:r>
      <w:r>
        <w:rPr>
          <w:rFonts w:cs="Arial"/>
        </w:rPr>
        <w:t>……………</w:t>
      </w:r>
      <w:r w:rsidRPr="005D0030">
        <w:rPr>
          <w:rFonts w:cs="Arial"/>
        </w:rPr>
        <w:t>………………………….</w:t>
      </w:r>
    </w:p>
    <w:p w:rsidR="00262335" w:rsidRPr="005D0030" w:rsidRDefault="00262335" w:rsidP="00262335">
      <w:pPr>
        <w:spacing w:before="240" w:after="0" w:line="240" w:lineRule="auto"/>
        <w:rPr>
          <w:rFonts w:cs="Arial"/>
        </w:rPr>
      </w:pPr>
      <w:r w:rsidRPr="005D0030">
        <w:rPr>
          <w:rFonts w:cs="Arial"/>
        </w:rPr>
        <w:t>zastoupen:……………………</w:t>
      </w:r>
      <w:r>
        <w:rPr>
          <w:rFonts w:cs="Arial"/>
        </w:rPr>
        <w:t>……………………………..</w:t>
      </w:r>
      <w:r w:rsidRPr="005D0030">
        <w:rPr>
          <w:rFonts w:cs="Arial"/>
        </w:rPr>
        <w:t>………………………………….......……..</w:t>
      </w:r>
    </w:p>
    <w:p w:rsidR="00262335" w:rsidRPr="005D0030" w:rsidRDefault="00262335" w:rsidP="00262335">
      <w:pPr>
        <w:spacing w:before="240" w:after="0" w:line="240" w:lineRule="auto"/>
        <w:rPr>
          <w:rFonts w:cs="Arial"/>
        </w:rPr>
      </w:pPr>
      <w:r w:rsidRPr="005D0030">
        <w:rPr>
          <w:rFonts w:cs="Arial"/>
        </w:rPr>
        <w:t>bankovní spojení: …………</w:t>
      </w:r>
      <w:r>
        <w:rPr>
          <w:rFonts w:cs="Arial"/>
        </w:rPr>
        <w:t>…</w:t>
      </w:r>
      <w:r w:rsidRPr="005D0030">
        <w:rPr>
          <w:rFonts w:cs="Arial"/>
        </w:rPr>
        <w:t>………………………. č. účtu: ………</w:t>
      </w:r>
      <w:r>
        <w:rPr>
          <w:rFonts w:cs="Arial"/>
        </w:rPr>
        <w:t>………….</w:t>
      </w:r>
      <w:r w:rsidRPr="005D0030">
        <w:rPr>
          <w:rFonts w:cs="Arial"/>
        </w:rPr>
        <w:t>………………..</w:t>
      </w:r>
    </w:p>
    <w:p w:rsidR="00262335" w:rsidRPr="005D0030" w:rsidRDefault="00262335" w:rsidP="00262335">
      <w:pPr>
        <w:spacing w:before="240" w:line="240" w:lineRule="auto"/>
        <w:rPr>
          <w:rFonts w:cs="Arial"/>
        </w:rPr>
      </w:pPr>
      <w:r w:rsidRPr="005D0030">
        <w:rPr>
          <w:rFonts w:cs="Arial"/>
        </w:rPr>
        <w:t>(dále jen „</w:t>
      </w:r>
      <w:r w:rsidRPr="005D0030">
        <w:rPr>
          <w:rFonts w:cs="Arial"/>
          <w:b/>
        </w:rPr>
        <w:t>poskytovatel</w:t>
      </w:r>
      <w:r w:rsidRPr="005D0030">
        <w:rPr>
          <w:rFonts w:cs="Arial"/>
        </w:rPr>
        <w:t>“)</w:t>
      </w:r>
    </w:p>
    <w:p w:rsidR="00262335" w:rsidRPr="005D0030" w:rsidRDefault="00262335" w:rsidP="00262335">
      <w:pPr>
        <w:spacing w:before="96"/>
        <w:rPr>
          <w:rFonts w:cs="Arial"/>
        </w:rPr>
      </w:pPr>
    </w:p>
    <w:p w:rsidR="00262335" w:rsidRPr="005D0030" w:rsidRDefault="00262335" w:rsidP="00262335">
      <w:pPr>
        <w:spacing w:before="96"/>
        <w:rPr>
          <w:rFonts w:cs="Arial"/>
          <w:b/>
        </w:rPr>
      </w:pPr>
      <w:r w:rsidRPr="005D0030">
        <w:rPr>
          <w:rFonts w:cs="Arial"/>
        </w:rPr>
        <w:t xml:space="preserve">uzavírají na základě vzájemné shody tuto </w:t>
      </w:r>
      <w:r w:rsidRPr="005D0030">
        <w:rPr>
          <w:rFonts w:cs="Arial"/>
          <w:b/>
        </w:rPr>
        <w:t>smlouvu o poskytování služeb.</w:t>
      </w:r>
    </w:p>
    <w:p w:rsidR="00262335" w:rsidRPr="005D0030" w:rsidRDefault="00262335" w:rsidP="00262335">
      <w:pPr>
        <w:spacing w:before="96"/>
        <w:jc w:val="center"/>
        <w:rPr>
          <w:rFonts w:cs="Arial"/>
        </w:rPr>
      </w:pPr>
      <w:r w:rsidRPr="005D0030">
        <w:rPr>
          <w:rFonts w:cs="Arial"/>
          <w:b/>
          <w:bCs/>
        </w:rPr>
        <w:lastRenderedPageBreak/>
        <w:t>Článek I.</w:t>
      </w:r>
    </w:p>
    <w:p w:rsidR="00262335" w:rsidRPr="005D0030" w:rsidRDefault="00262335" w:rsidP="00262335">
      <w:pPr>
        <w:spacing w:before="96"/>
        <w:jc w:val="center"/>
        <w:rPr>
          <w:rFonts w:cs="Arial"/>
        </w:rPr>
      </w:pPr>
      <w:r w:rsidRPr="005D0030">
        <w:rPr>
          <w:rFonts w:cs="Arial"/>
          <w:b/>
          <w:bCs/>
        </w:rPr>
        <w:t>Předmět smlouvy</w:t>
      </w:r>
    </w:p>
    <w:p w:rsidR="00262335" w:rsidRPr="005D0030" w:rsidRDefault="00262335" w:rsidP="00262335">
      <w:pPr>
        <w:numPr>
          <w:ilvl w:val="0"/>
          <w:numId w:val="39"/>
        </w:numPr>
        <w:spacing w:before="96" w:after="0" w:line="240" w:lineRule="auto"/>
        <w:jc w:val="both"/>
        <w:rPr>
          <w:rFonts w:cs="Arial"/>
        </w:rPr>
      </w:pPr>
      <w:r w:rsidRPr="005D0030">
        <w:rPr>
          <w:rFonts w:cs="Arial"/>
        </w:rPr>
        <w:t xml:space="preserve">Předmětem této smlouvy je závazek poskytovatele poskytovat objednateli služby </w:t>
      </w:r>
      <w:r w:rsidRPr="005D0030">
        <w:rPr>
          <w:rFonts w:cs="Arial"/>
          <w:b/>
        </w:rPr>
        <w:t>„Zajištění provozování sociálního zařízení pro veřejnost“</w:t>
      </w:r>
      <w:r w:rsidRPr="005D0030">
        <w:rPr>
          <w:rFonts w:cs="Arial"/>
        </w:rPr>
        <w:t>, v rozsahu stanoveném v příloze č. 1 této smlouvy (dále také jen „provoz veřejného WC“) a závazek objednatele za poskytování služeb zaplatit poskytovateli cenu stanovenou v čl. II této smlouvy.</w:t>
      </w:r>
    </w:p>
    <w:p w:rsidR="00262335" w:rsidRPr="005D0030" w:rsidRDefault="00262335" w:rsidP="00262335">
      <w:pPr>
        <w:spacing w:before="96"/>
        <w:jc w:val="center"/>
        <w:rPr>
          <w:rFonts w:cs="Arial"/>
          <w:b/>
          <w:bCs/>
        </w:rPr>
      </w:pPr>
    </w:p>
    <w:p w:rsidR="00262335" w:rsidRPr="005D0030" w:rsidRDefault="00262335" w:rsidP="00262335">
      <w:pPr>
        <w:spacing w:before="96"/>
        <w:jc w:val="center"/>
        <w:rPr>
          <w:rFonts w:cs="Arial"/>
          <w:b/>
          <w:bCs/>
        </w:rPr>
      </w:pPr>
      <w:r w:rsidRPr="005D0030">
        <w:rPr>
          <w:rFonts w:cs="Arial"/>
          <w:b/>
          <w:bCs/>
        </w:rPr>
        <w:t>Článek II.</w:t>
      </w:r>
    </w:p>
    <w:p w:rsidR="00262335" w:rsidRPr="005D0030" w:rsidRDefault="00262335" w:rsidP="00262335">
      <w:pPr>
        <w:spacing w:before="96"/>
        <w:jc w:val="center"/>
        <w:rPr>
          <w:rFonts w:cs="Arial"/>
          <w:b/>
          <w:bCs/>
        </w:rPr>
      </w:pPr>
      <w:r w:rsidRPr="005D0030">
        <w:rPr>
          <w:rFonts w:cs="Arial"/>
          <w:b/>
          <w:bCs/>
        </w:rPr>
        <w:t>Cenové ujednání</w:t>
      </w:r>
    </w:p>
    <w:p w:rsidR="00262335" w:rsidRPr="005D0030" w:rsidRDefault="00262335" w:rsidP="00262335">
      <w:pPr>
        <w:numPr>
          <w:ilvl w:val="0"/>
          <w:numId w:val="38"/>
        </w:numPr>
        <w:spacing w:before="96" w:after="0" w:line="240" w:lineRule="auto"/>
        <w:jc w:val="both"/>
        <w:rPr>
          <w:rFonts w:cs="Arial"/>
        </w:rPr>
      </w:pPr>
      <w:r w:rsidRPr="005D0030">
        <w:rPr>
          <w:rFonts w:cs="Arial"/>
        </w:rPr>
        <w:t>Objednatel se zavazuje za řádně poskytnuté služby zaplatit pos</w:t>
      </w:r>
      <w:r>
        <w:rPr>
          <w:rFonts w:cs="Arial"/>
        </w:rPr>
        <w:t xml:space="preserve">kytovateli cenu ve výši uvedené </w:t>
      </w:r>
      <w:r w:rsidRPr="005D0030">
        <w:rPr>
          <w:rFonts w:cs="Arial"/>
        </w:rPr>
        <w:t>v následující tabulce za celé období plnění, a to v pravidelných měsíčních splátkách. Ke sjednané ceně bude připočteno DPH ve výši dle předpisů platných ke dni uskutečnění zdanitelného plnění.</w:t>
      </w:r>
    </w:p>
    <w:p w:rsidR="00262335" w:rsidRPr="005D0030" w:rsidRDefault="00197595" w:rsidP="00262335">
      <w:pPr>
        <w:spacing w:before="96"/>
        <w:ind w:left="360"/>
        <w:jc w:val="both"/>
        <w:rPr>
          <w:rFonts w:cs="Arial"/>
        </w:rPr>
      </w:pPr>
      <w:r w:rsidRPr="00842639">
        <w:rPr>
          <w:rFonts w:ascii="Verdana" w:eastAsia="Times New Roman" w:hAnsi="Verdana" w:cs="Arial"/>
          <w:b/>
          <w:color w:val="000000"/>
          <w:highlight w:val="green"/>
          <w:lang w:eastAsia="cs-CZ"/>
        </w:rPr>
        <w:t>Vyplňují se pouze ty části, o které má účastník zájem. Ostatní budou ponechány nevyplněné.</w:t>
      </w:r>
    </w:p>
    <w:tbl>
      <w:tblPr>
        <w:tblW w:w="8418" w:type="dxa"/>
        <w:jc w:val="center"/>
        <w:tblInd w:w="2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375"/>
        <w:gridCol w:w="3074"/>
        <w:gridCol w:w="1888"/>
        <w:gridCol w:w="2081"/>
      </w:tblGrid>
      <w:tr w:rsidR="00820A4B" w:rsidRPr="00820A4B" w:rsidTr="00AC4BAF">
        <w:trPr>
          <w:trHeight w:val="690"/>
          <w:jc w:val="center"/>
        </w:trPr>
        <w:tc>
          <w:tcPr>
            <w:tcW w:w="1375" w:type="dxa"/>
          </w:tcPr>
          <w:p w:rsidR="00262335" w:rsidRPr="00820A4B" w:rsidRDefault="00262335" w:rsidP="00AC4BAF">
            <w:pPr>
              <w:jc w:val="center"/>
              <w:rPr>
                <w:rFonts w:cs="Arial"/>
                <w:b/>
                <w:bCs/>
              </w:rPr>
            </w:pPr>
            <w:r w:rsidRPr="00820A4B">
              <w:rPr>
                <w:rFonts w:cs="Arial"/>
                <w:b/>
                <w:bCs/>
              </w:rPr>
              <w:t xml:space="preserve">Číslo části zakázky </w:t>
            </w:r>
          </w:p>
          <w:p w:rsidR="00262335" w:rsidRPr="00820A4B" w:rsidRDefault="00262335" w:rsidP="00AC4BAF">
            <w:pPr>
              <w:jc w:val="center"/>
              <w:rPr>
                <w:rFonts w:cs="Arial"/>
                <w:b/>
                <w:bCs/>
              </w:rPr>
            </w:pPr>
            <w:r w:rsidRPr="00820A4B">
              <w:rPr>
                <w:rFonts w:cs="Arial"/>
                <w:bCs/>
              </w:rPr>
              <w:t xml:space="preserve">dle rozpočtu  </w:t>
            </w:r>
          </w:p>
        </w:tc>
        <w:tc>
          <w:tcPr>
            <w:tcW w:w="3074" w:type="dxa"/>
            <w:hideMark/>
          </w:tcPr>
          <w:p w:rsidR="00262335" w:rsidRPr="00820A4B" w:rsidRDefault="00262335" w:rsidP="00AC4BAF">
            <w:pPr>
              <w:jc w:val="center"/>
              <w:rPr>
                <w:rFonts w:cs="Arial"/>
                <w:b/>
                <w:bCs/>
              </w:rPr>
            </w:pPr>
            <w:r w:rsidRPr="00820A4B">
              <w:rPr>
                <w:rFonts w:cs="Arial"/>
                <w:b/>
                <w:bCs/>
              </w:rPr>
              <w:t>Místo plnění: sociální zařízení (WC) pro veřejnost v budově</w:t>
            </w:r>
          </w:p>
        </w:tc>
        <w:tc>
          <w:tcPr>
            <w:tcW w:w="1888" w:type="dxa"/>
            <w:hideMark/>
          </w:tcPr>
          <w:p w:rsidR="00262335" w:rsidRPr="00820A4B" w:rsidRDefault="00262335" w:rsidP="00AC4BAF">
            <w:pPr>
              <w:jc w:val="center"/>
              <w:rPr>
                <w:rFonts w:cs="Arial"/>
                <w:b/>
              </w:rPr>
            </w:pPr>
            <w:r w:rsidRPr="00820A4B">
              <w:rPr>
                <w:rFonts w:cs="Arial"/>
                <w:b/>
              </w:rPr>
              <w:t xml:space="preserve">Cena služby v Kč bez DPH </w:t>
            </w:r>
          </w:p>
          <w:p w:rsidR="00262335" w:rsidRPr="00820A4B" w:rsidRDefault="00A03268" w:rsidP="00AC4BAF">
            <w:pPr>
              <w:jc w:val="center"/>
              <w:rPr>
                <w:rFonts w:cs="Arial"/>
                <w:b/>
              </w:rPr>
            </w:pPr>
            <w:r>
              <w:rPr>
                <w:rFonts w:cs="Arial"/>
                <w:b/>
              </w:rPr>
              <w:t>Za 1 rok</w:t>
            </w:r>
            <w:r w:rsidR="00262335" w:rsidRPr="00820A4B">
              <w:rPr>
                <w:rFonts w:cs="Arial"/>
                <w:b/>
              </w:rPr>
              <w:t xml:space="preserve"> = za celé období plnění</w:t>
            </w:r>
          </w:p>
        </w:tc>
        <w:tc>
          <w:tcPr>
            <w:tcW w:w="2081" w:type="dxa"/>
          </w:tcPr>
          <w:p w:rsidR="00262335" w:rsidRPr="00820A4B" w:rsidRDefault="00262335" w:rsidP="00AC4BAF">
            <w:pPr>
              <w:jc w:val="center"/>
              <w:rPr>
                <w:rFonts w:cs="Arial"/>
                <w:b/>
              </w:rPr>
            </w:pPr>
            <w:r w:rsidRPr="00820A4B">
              <w:rPr>
                <w:rFonts w:cs="Arial"/>
                <w:b/>
              </w:rPr>
              <w:t xml:space="preserve">Cena služby </w:t>
            </w:r>
          </w:p>
          <w:p w:rsidR="00262335" w:rsidRPr="00820A4B" w:rsidRDefault="00262335" w:rsidP="00AC4BAF">
            <w:pPr>
              <w:jc w:val="center"/>
              <w:rPr>
                <w:rFonts w:cs="Arial"/>
                <w:b/>
              </w:rPr>
            </w:pPr>
            <w:r w:rsidRPr="00820A4B">
              <w:rPr>
                <w:rFonts w:cs="Arial"/>
                <w:b/>
              </w:rPr>
              <w:t xml:space="preserve">v Kč bez DPH </w:t>
            </w:r>
          </w:p>
          <w:p w:rsidR="00262335" w:rsidRPr="00820A4B" w:rsidRDefault="00262335" w:rsidP="00AC4BAF">
            <w:pPr>
              <w:jc w:val="center"/>
              <w:rPr>
                <w:rFonts w:cs="Arial"/>
              </w:rPr>
            </w:pPr>
            <w:r w:rsidRPr="00820A4B">
              <w:rPr>
                <w:rFonts w:cs="Arial"/>
                <w:b/>
              </w:rPr>
              <w:t>za 1 kalendářní měsíc</w:t>
            </w:r>
          </w:p>
        </w:tc>
      </w:tr>
      <w:tr w:rsidR="00820A4B" w:rsidRPr="00820A4B" w:rsidTr="00AC4BAF">
        <w:trPr>
          <w:trHeight w:val="300"/>
          <w:jc w:val="center"/>
        </w:trPr>
        <w:tc>
          <w:tcPr>
            <w:tcW w:w="1375" w:type="dxa"/>
            <w:hideMark/>
          </w:tcPr>
          <w:p w:rsidR="00262335" w:rsidRPr="00820A4B" w:rsidRDefault="00262335" w:rsidP="00AC4BAF">
            <w:pPr>
              <w:jc w:val="center"/>
              <w:rPr>
                <w:rFonts w:cs="Arial"/>
                <w:b/>
              </w:rPr>
            </w:pPr>
            <w:r w:rsidRPr="00820A4B">
              <w:rPr>
                <w:rFonts w:cs="Arial"/>
                <w:b/>
              </w:rPr>
              <w:t>1</w:t>
            </w:r>
          </w:p>
        </w:tc>
        <w:tc>
          <w:tcPr>
            <w:tcW w:w="3074" w:type="dxa"/>
            <w:noWrap/>
            <w:vAlign w:val="bottom"/>
            <w:hideMark/>
          </w:tcPr>
          <w:p w:rsidR="00262335" w:rsidRPr="00820A4B" w:rsidRDefault="00262335" w:rsidP="00AC4BAF">
            <w:pPr>
              <w:rPr>
                <w:rFonts w:cs="Arial"/>
                <w:b/>
              </w:rPr>
            </w:pPr>
            <w:r w:rsidRPr="00820A4B">
              <w:rPr>
                <w:rFonts w:cs="Arial"/>
                <w:b/>
              </w:rPr>
              <w:t>ŽST Děčín hl.n.</w:t>
            </w:r>
          </w:p>
          <w:p w:rsidR="00262335" w:rsidRPr="00820A4B" w:rsidRDefault="00262335" w:rsidP="00AC4BAF">
            <w:pPr>
              <w:rPr>
                <w:rFonts w:cs="Arial"/>
              </w:rPr>
            </w:pPr>
            <w:r w:rsidRPr="00820A4B">
              <w:rPr>
                <w:rFonts w:cs="Arial"/>
              </w:rPr>
              <w:t>v ul. Čsl. Mládeže č.p. 89</w:t>
            </w:r>
          </w:p>
        </w:tc>
        <w:tc>
          <w:tcPr>
            <w:tcW w:w="1888" w:type="dxa"/>
            <w:noWrap/>
            <w:vAlign w:val="bottom"/>
            <w:hideMark/>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hideMark/>
          </w:tcPr>
          <w:p w:rsidR="00262335" w:rsidRPr="00820A4B" w:rsidRDefault="00262335" w:rsidP="00AC4BAF">
            <w:pPr>
              <w:jc w:val="center"/>
              <w:rPr>
                <w:rFonts w:cs="Arial"/>
                <w:b/>
              </w:rPr>
            </w:pPr>
            <w:r w:rsidRPr="00820A4B">
              <w:rPr>
                <w:rFonts w:cs="Arial"/>
                <w:b/>
              </w:rPr>
              <w:t>2</w:t>
            </w:r>
          </w:p>
        </w:tc>
        <w:tc>
          <w:tcPr>
            <w:tcW w:w="3074" w:type="dxa"/>
            <w:noWrap/>
            <w:vAlign w:val="bottom"/>
            <w:hideMark/>
          </w:tcPr>
          <w:p w:rsidR="00262335" w:rsidRPr="00820A4B" w:rsidRDefault="00262335" w:rsidP="00AC4BAF">
            <w:pPr>
              <w:rPr>
                <w:rFonts w:cs="Arial"/>
                <w:b/>
              </w:rPr>
            </w:pPr>
            <w:r w:rsidRPr="00820A4B">
              <w:rPr>
                <w:rFonts w:cs="Arial"/>
                <w:b/>
              </w:rPr>
              <w:t>ŽST Lovosice</w:t>
            </w:r>
          </w:p>
          <w:p w:rsidR="00262335" w:rsidRPr="00820A4B" w:rsidRDefault="00262335" w:rsidP="00AC4BAF">
            <w:pPr>
              <w:rPr>
                <w:rFonts w:cs="Arial"/>
              </w:rPr>
            </w:pPr>
            <w:r w:rsidRPr="00820A4B">
              <w:rPr>
                <w:rFonts w:cs="Arial"/>
              </w:rPr>
              <w:t>v ul. Žižkova 922/28</w:t>
            </w:r>
          </w:p>
        </w:tc>
        <w:tc>
          <w:tcPr>
            <w:tcW w:w="1888" w:type="dxa"/>
            <w:noWrap/>
            <w:vAlign w:val="bottom"/>
            <w:hideMark/>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hideMark/>
          </w:tcPr>
          <w:p w:rsidR="00262335" w:rsidRPr="00820A4B" w:rsidRDefault="00262335" w:rsidP="00AC4BAF">
            <w:pPr>
              <w:jc w:val="center"/>
              <w:rPr>
                <w:rFonts w:cs="Arial"/>
                <w:b/>
              </w:rPr>
            </w:pPr>
            <w:r w:rsidRPr="00820A4B">
              <w:rPr>
                <w:rFonts w:cs="Arial"/>
                <w:b/>
              </w:rPr>
              <w:t>3</w:t>
            </w:r>
          </w:p>
        </w:tc>
        <w:tc>
          <w:tcPr>
            <w:tcW w:w="3074" w:type="dxa"/>
            <w:noWrap/>
            <w:vAlign w:val="bottom"/>
            <w:hideMark/>
          </w:tcPr>
          <w:p w:rsidR="00262335" w:rsidRPr="00820A4B" w:rsidRDefault="00262335" w:rsidP="00AC4BAF">
            <w:pPr>
              <w:rPr>
                <w:rFonts w:cs="Arial"/>
                <w:b/>
              </w:rPr>
            </w:pPr>
            <w:r w:rsidRPr="00820A4B">
              <w:rPr>
                <w:rFonts w:cs="Arial"/>
                <w:b/>
              </w:rPr>
              <w:t>ŽST Teplice v Čechách</w:t>
            </w:r>
          </w:p>
          <w:p w:rsidR="00262335" w:rsidRPr="00820A4B" w:rsidRDefault="00262335" w:rsidP="00AC4BAF">
            <w:pPr>
              <w:rPr>
                <w:rFonts w:cs="Arial"/>
              </w:rPr>
            </w:pPr>
            <w:r w:rsidRPr="00820A4B">
              <w:rPr>
                <w:rFonts w:cs="Arial"/>
              </w:rPr>
              <w:t>v ul. Nádražní nám. 599/53</w:t>
            </w:r>
          </w:p>
        </w:tc>
        <w:tc>
          <w:tcPr>
            <w:tcW w:w="1888" w:type="dxa"/>
            <w:noWrap/>
            <w:vAlign w:val="bottom"/>
            <w:hideMark/>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hideMark/>
          </w:tcPr>
          <w:p w:rsidR="00262335" w:rsidRPr="00820A4B" w:rsidRDefault="00262335" w:rsidP="00AC4BAF">
            <w:pPr>
              <w:jc w:val="center"/>
              <w:rPr>
                <w:rFonts w:cs="Arial"/>
                <w:b/>
              </w:rPr>
            </w:pPr>
            <w:r w:rsidRPr="00820A4B">
              <w:rPr>
                <w:rFonts w:cs="Arial"/>
                <w:b/>
              </w:rPr>
              <w:t>4</w:t>
            </w:r>
          </w:p>
        </w:tc>
        <w:tc>
          <w:tcPr>
            <w:tcW w:w="3074" w:type="dxa"/>
            <w:noWrap/>
            <w:vAlign w:val="bottom"/>
            <w:hideMark/>
          </w:tcPr>
          <w:p w:rsidR="00262335" w:rsidRPr="00820A4B" w:rsidRDefault="00262335" w:rsidP="00AC4BAF">
            <w:pPr>
              <w:rPr>
                <w:rFonts w:cs="Arial"/>
                <w:b/>
              </w:rPr>
            </w:pPr>
            <w:r w:rsidRPr="00820A4B">
              <w:rPr>
                <w:rFonts w:cs="Arial"/>
                <w:b/>
              </w:rPr>
              <w:t>ŽST Most</w:t>
            </w:r>
          </w:p>
          <w:p w:rsidR="00262335" w:rsidRPr="00820A4B" w:rsidRDefault="00262335" w:rsidP="00AC4BAF">
            <w:pPr>
              <w:rPr>
                <w:rFonts w:cs="Arial"/>
              </w:rPr>
            </w:pPr>
            <w:r w:rsidRPr="00820A4B">
              <w:rPr>
                <w:rFonts w:cs="Arial"/>
              </w:rPr>
              <w:t>v ul. Nádražní 774/1</w:t>
            </w:r>
          </w:p>
        </w:tc>
        <w:tc>
          <w:tcPr>
            <w:tcW w:w="1888" w:type="dxa"/>
            <w:noWrap/>
            <w:vAlign w:val="bottom"/>
            <w:hideMark/>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tcPr>
          <w:p w:rsidR="00262335" w:rsidRPr="00820A4B" w:rsidRDefault="00262335" w:rsidP="00AC4BAF">
            <w:pPr>
              <w:jc w:val="center"/>
              <w:rPr>
                <w:rFonts w:cs="Arial"/>
                <w:b/>
              </w:rPr>
            </w:pPr>
            <w:r w:rsidRPr="00820A4B">
              <w:rPr>
                <w:rFonts w:cs="Arial"/>
                <w:b/>
              </w:rPr>
              <w:t>5</w:t>
            </w:r>
          </w:p>
        </w:tc>
        <w:tc>
          <w:tcPr>
            <w:tcW w:w="3074" w:type="dxa"/>
            <w:noWrap/>
            <w:vAlign w:val="bottom"/>
          </w:tcPr>
          <w:p w:rsidR="00262335" w:rsidRPr="00820A4B" w:rsidRDefault="00262335" w:rsidP="00AC4BAF">
            <w:pPr>
              <w:rPr>
                <w:rFonts w:cs="Arial"/>
                <w:b/>
              </w:rPr>
            </w:pPr>
            <w:r w:rsidRPr="00820A4B">
              <w:rPr>
                <w:rFonts w:cs="Arial"/>
                <w:b/>
              </w:rPr>
              <w:t>ŽST Cheb</w:t>
            </w:r>
          </w:p>
          <w:p w:rsidR="00262335" w:rsidRPr="00820A4B" w:rsidRDefault="00262335" w:rsidP="00AC4BAF">
            <w:pPr>
              <w:rPr>
                <w:rFonts w:cs="Arial"/>
              </w:rPr>
            </w:pPr>
            <w:r w:rsidRPr="00820A4B">
              <w:rPr>
                <w:rFonts w:cs="Arial"/>
              </w:rPr>
              <w:t>v ul. Žižkova 1301/4</w:t>
            </w:r>
          </w:p>
        </w:tc>
        <w:tc>
          <w:tcPr>
            <w:tcW w:w="1888" w:type="dxa"/>
            <w:noWrap/>
            <w:vAlign w:val="bottom"/>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tcPr>
          <w:p w:rsidR="00262335" w:rsidRPr="00820A4B" w:rsidRDefault="00262335" w:rsidP="00AC4BAF">
            <w:pPr>
              <w:jc w:val="center"/>
              <w:rPr>
                <w:rFonts w:cs="Arial"/>
                <w:b/>
              </w:rPr>
            </w:pPr>
            <w:r w:rsidRPr="00820A4B">
              <w:rPr>
                <w:rFonts w:cs="Arial"/>
                <w:b/>
              </w:rPr>
              <w:t>6</w:t>
            </w:r>
          </w:p>
        </w:tc>
        <w:tc>
          <w:tcPr>
            <w:tcW w:w="3074" w:type="dxa"/>
            <w:noWrap/>
            <w:vAlign w:val="bottom"/>
          </w:tcPr>
          <w:p w:rsidR="00262335" w:rsidRPr="00820A4B" w:rsidRDefault="00262335" w:rsidP="00AC4BAF">
            <w:pPr>
              <w:rPr>
                <w:rFonts w:cs="Arial"/>
                <w:b/>
              </w:rPr>
            </w:pPr>
            <w:r w:rsidRPr="00820A4B">
              <w:rPr>
                <w:rFonts w:cs="Arial"/>
                <w:b/>
              </w:rPr>
              <w:t>ŽST Karlovy Vary</w:t>
            </w:r>
          </w:p>
          <w:p w:rsidR="00262335" w:rsidRPr="00820A4B" w:rsidRDefault="00262335" w:rsidP="00AC4BAF">
            <w:pPr>
              <w:rPr>
                <w:rFonts w:cs="Arial"/>
              </w:rPr>
            </w:pPr>
            <w:r w:rsidRPr="00820A4B">
              <w:rPr>
                <w:rFonts w:cs="Arial"/>
              </w:rPr>
              <w:t>horní nádraží,</w:t>
            </w:r>
          </w:p>
        </w:tc>
        <w:tc>
          <w:tcPr>
            <w:tcW w:w="1888" w:type="dxa"/>
            <w:noWrap/>
            <w:vAlign w:val="bottom"/>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tcPr>
          <w:p w:rsidR="00262335" w:rsidRPr="00820A4B" w:rsidRDefault="00262335" w:rsidP="00AC4BAF">
            <w:pPr>
              <w:jc w:val="center"/>
              <w:rPr>
                <w:rFonts w:cs="Arial"/>
                <w:b/>
              </w:rPr>
            </w:pPr>
            <w:r w:rsidRPr="00820A4B">
              <w:rPr>
                <w:rFonts w:cs="Arial"/>
                <w:b/>
              </w:rPr>
              <w:t>7</w:t>
            </w:r>
          </w:p>
        </w:tc>
        <w:tc>
          <w:tcPr>
            <w:tcW w:w="3074" w:type="dxa"/>
            <w:noWrap/>
            <w:vAlign w:val="bottom"/>
          </w:tcPr>
          <w:p w:rsidR="00262335" w:rsidRPr="00820A4B" w:rsidRDefault="00262335" w:rsidP="00AC4BAF">
            <w:pPr>
              <w:rPr>
                <w:rFonts w:cs="Arial"/>
                <w:b/>
              </w:rPr>
            </w:pPr>
            <w:r w:rsidRPr="00820A4B">
              <w:rPr>
                <w:rFonts w:cs="Arial"/>
                <w:b/>
              </w:rPr>
              <w:t>ŽST Karlovy Vary</w:t>
            </w:r>
          </w:p>
          <w:p w:rsidR="00262335" w:rsidRPr="00820A4B" w:rsidRDefault="00262335" w:rsidP="00AC4BAF">
            <w:pPr>
              <w:rPr>
                <w:rFonts w:cs="Arial"/>
              </w:rPr>
            </w:pPr>
            <w:r w:rsidRPr="00820A4B">
              <w:rPr>
                <w:rFonts w:cs="Arial"/>
              </w:rPr>
              <w:t>dolní nádraží,</w:t>
            </w:r>
          </w:p>
          <w:p w:rsidR="00262335" w:rsidRPr="00820A4B" w:rsidRDefault="00262335" w:rsidP="00AC4BAF">
            <w:pPr>
              <w:rPr>
                <w:rFonts w:cs="Arial"/>
              </w:rPr>
            </w:pPr>
            <w:r w:rsidRPr="00820A4B">
              <w:rPr>
                <w:rFonts w:cs="Arial"/>
              </w:rPr>
              <w:t>(odbavovací hala ČD a ČSAD)</w:t>
            </w:r>
          </w:p>
        </w:tc>
        <w:tc>
          <w:tcPr>
            <w:tcW w:w="1888" w:type="dxa"/>
            <w:noWrap/>
            <w:vAlign w:val="bottom"/>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820A4B" w:rsidRPr="00820A4B" w:rsidTr="00AC4BAF">
        <w:trPr>
          <w:trHeight w:val="300"/>
          <w:jc w:val="center"/>
        </w:trPr>
        <w:tc>
          <w:tcPr>
            <w:tcW w:w="1375" w:type="dxa"/>
          </w:tcPr>
          <w:p w:rsidR="00262335" w:rsidRPr="00820A4B" w:rsidRDefault="00262335" w:rsidP="00AC4BAF">
            <w:pPr>
              <w:jc w:val="center"/>
              <w:rPr>
                <w:rFonts w:cs="Arial"/>
                <w:b/>
              </w:rPr>
            </w:pPr>
            <w:r w:rsidRPr="00820A4B">
              <w:rPr>
                <w:rFonts w:cs="Arial"/>
                <w:b/>
              </w:rPr>
              <w:lastRenderedPageBreak/>
              <w:t>8</w:t>
            </w:r>
          </w:p>
        </w:tc>
        <w:tc>
          <w:tcPr>
            <w:tcW w:w="3074" w:type="dxa"/>
            <w:noWrap/>
            <w:vAlign w:val="bottom"/>
          </w:tcPr>
          <w:p w:rsidR="00262335" w:rsidRPr="00820A4B" w:rsidRDefault="00262335" w:rsidP="00AC4BAF">
            <w:pPr>
              <w:rPr>
                <w:rFonts w:cs="Arial"/>
                <w:b/>
              </w:rPr>
            </w:pPr>
            <w:r w:rsidRPr="00820A4B">
              <w:rPr>
                <w:rFonts w:cs="Arial"/>
                <w:b/>
              </w:rPr>
              <w:t>ŽST Karlovy Vary</w:t>
            </w:r>
          </w:p>
          <w:p w:rsidR="00262335" w:rsidRPr="00820A4B" w:rsidRDefault="00262335" w:rsidP="00AC4BAF">
            <w:pPr>
              <w:rPr>
                <w:rFonts w:cs="Arial"/>
              </w:rPr>
            </w:pPr>
            <w:r w:rsidRPr="00820A4B">
              <w:rPr>
                <w:rFonts w:cs="Arial"/>
              </w:rPr>
              <w:t>dolní nádraží</w:t>
            </w:r>
          </w:p>
          <w:p w:rsidR="00262335" w:rsidRPr="00820A4B" w:rsidRDefault="00262335" w:rsidP="00AC4BAF">
            <w:pPr>
              <w:rPr>
                <w:rFonts w:cs="Arial"/>
              </w:rPr>
            </w:pPr>
            <w:r w:rsidRPr="00820A4B">
              <w:rPr>
                <w:rFonts w:cs="Arial"/>
              </w:rPr>
              <w:t>(provozní budova ČD a ČSAD term.)</w:t>
            </w:r>
          </w:p>
        </w:tc>
        <w:tc>
          <w:tcPr>
            <w:tcW w:w="1888" w:type="dxa"/>
            <w:noWrap/>
            <w:vAlign w:val="bottom"/>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r w:rsidR="00262335" w:rsidRPr="00820A4B" w:rsidTr="00AC4BAF">
        <w:trPr>
          <w:trHeight w:val="300"/>
          <w:jc w:val="center"/>
        </w:trPr>
        <w:tc>
          <w:tcPr>
            <w:tcW w:w="1375" w:type="dxa"/>
          </w:tcPr>
          <w:p w:rsidR="00262335" w:rsidRPr="00820A4B" w:rsidRDefault="00262335" w:rsidP="00AC4BAF">
            <w:pPr>
              <w:jc w:val="center"/>
              <w:rPr>
                <w:rFonts w:cs="Arial"/>
                <w:b/>
              </w:rPr>
            </w:pPr>
            <w:r w:rsidRPr="00820A4B">
              <w:rPr>
                <w:rFonts w:cs="Arial"/>
                <w:b/>
              </w:rPr>
              <w:t>9</w:t>
            </w:r>
          </w:p>
        </w:tc>
        <w:tc>
          <w:tcPr>
            <w:tcW w:w="3074" w:type="dxa"/>
            <w:noWrap/>
            <w:vAlign w:val="bottom"/>
          </w:tcPr>
          <w:p w:rsidR="00262335" w:rsidRPr="00820A4B" w:rsidRDefault="00262335" w:rsidP="00AC4BAF">
            <w:pPr>
              <w:rPr>
                <w:rFonts w:cs="Arial"/>
                <w:b/>
              </w:rPr>
            </w:pPr>
            <w:r w:rsidRPr="00820A4B">
              <w:rPr>
                <w:rFonts w:cs="Arial"/>
                <w:b/>
              </w:rPr>
              <w:t>ŽST Ústí nad Labem hl. n.</w:t>
            </w:r>
          </w:p>
          <w:p w:rsidR="00262335" w:rsidRPr="00820A4B" w:rsidRDefault="00262335" w:rsidP="00AC4BAF">
            <w:pPr>
              <w:rPr>
                <w:rFonts w:cs="Arial"/>
              </w:rPr>
            </w:pPr>
            <w:r w:rsidRPr="00820A4B">
              <w:rPr>
                <w:rFonts w:cs="Arial"/>
              </w:rPr>
              <w:t>v ul. U nádraží 965/6</w:t>
            </w:r>
          </w:p>
        </w:tc>
        <w:tc>
          <w:tcPr>
            <w:tcW w:w="1888" w:type="dxa"/>
            <w:noWrap/>
            <w:vAlign w:val="bottom"/>
          </w:tcPr>
          <w:p w:rsidR="00262335" w:rsidRPr="00820A4B" w:rsidRDefault="00262335" w:rsidP="00AC4BAF">
            <w:pPr>
              <w:jc w:val="center"/>
              <w:rPr>
                <w:rFonts w:cs="Arial"/>
              </w:rPr>
            </w:pPr>
          </w:p>
        </w:tc>
        <w:tc>
          <w:tcPr>
            <w:tcW w:w="2081" w:type="dxa"/>
          </w:tcPr>
          <w:p w:rsidR="00262335" w:rsidRPr="00820A4B" w:rsidRDefault="00262335" w:rsidP="00AC4BAF">
            <w:pPr>
              <w:jc w:val="center"/>
              <w:rPr>
                <w:rFonts w:cs="Arial"/>
              </w:rPr>
            </w:pPr>
          </w:p>
        </w:tc>
      </w:tr>
    </w:tbl>
    <w:p w:rsidR="00262335" w:rsidRPr="00820A4B" w:rsidRDefault="00262335" w:rsidP="00262335">
      <w:pPr>
        <w:spacing w:before="96"/>
        <w:ind w:left="360"/>
        <w:jc w:val="both"/>
        <w:rPr>
          <w:rFonts w:cs="Arial"/>
        </w:rPr>
      </w:pPr>
    </w:p>
    <w:p w:rsidR="00262335" w:rsidRPr="00820A4B" w:rsidRDefault="00262335" w:rsidP="00262335">
      <w:pPr>
        <w:numPr>
          <w:ilvl w:val="0"/>
          <w:numId w:val="38"/>
        </w:numPr>
        <w:spacing w:before="96" w:after="0" w:line="240" w:lineRule="auto"/>
        <w:jc w:val="both"/>
        <w:rPr>
          <w:rFonts w:cs="Arial"/>
        </w:rPr>
      </w:pPr>
      <w:r w:rsidRPr="00820A4B">
        <w:rPr>
          <w:rFonts w:cs="Arial"/>
        </w:rPr>
        <w:t>Smluvní strany se dohodly, že sjednaná cena je konečná a pokrývá celkové náklady poskytovatele na zajištění provozu veřejného WC.</w:t>
      </w:r>
    </w:p>
    <w:p w:rsidR="00262335" w:rsidRPr="00820A4B" w:rsidRDefault="00262335" w:rsidP="00262335">
      <w:pPr>
        <w:numPr>
          <w:ilvl w:val="0"/>
          <w:numId w:val="38"/>
        </w:numPr>
        <w:spacing w:before="96" w:after="0" w:line="240" w:lineRule="auto"/>
        <w:jc w:val="both"/>
        <w:rPr>
          <w:rFonts w:cs="Arial"/>
        </w:rPr>
      </w:pPr>
      <w:r w:rsidRPr="00820A4B">
        <w:rPr>
          <w:rFonts w:cs="Arial"/>
        </w:rPr>
        <w:t xml:space="preserve">Veškeré náklady, které vzniknou poskytovateli nad rámec plnění této smlouvy, jsou nákladem poskytovatele. Takovéto náklady mohou být poskytovateli uhrazeny pouze tehdy, pokud je objednatel uzná jako oprávněné. </w:t>
      </w:r>
    </w:p>
    <w:p w:rsidR="00262335" w:rsidRPr="00820A4B" w:rsidRDefault="00262335" w:rsidP="00262335">
      <w:pPr>
        <w:spacing w:before="96"/>
        <w:ind w:left="360"/>
        <w:jc w:val="center"/>
        <w:rPr>
          <w:rFonts w:cs="Arial"/>
        </w:rPr>
      </w:pPr>
    </w:p>
    <w:p w:rsidR="00262335" w:rsidRPr="00820A4B" w:rsidRDefault="00262335" w:rsidP="00262335">
      <w:pPr>
        <w:spacing w:before="96"/>
        <w:jc w:val="center"/>
        <w:rPr>
          <w:rFonts w:cs="Arial"/>
          <w:b/>
          <w:bCs/>
        </w:rPr>
      </w:pPr>
      <w:r w:rsidRPr="00820A4B">
        <w:rPr>
          <w:rFonts w:cs="Arial"/>
          <w:b/>
          <w:bCs/>
        </w:rPr>
        <w:t>Článek III.</w:t>
      </w:r>
    </w:p>
    <w:p w:rsidR="00262335" w:rsidRPr="00820A4B" w:rsidRDefault="00262335" w:rsidP="00262335">
      <w:pPr>
        <w:spacing w:before="96"/>
        <w:jc w:val="center"/>
        <w:rPr>
          <w:rFonts w:cs="Arial"/>
          <w:b/>
          <w:bCs/>
        </w:rPr>
      </w:pPr>
      <w:r w:rsidRPr="00820A4B">
        <w:rPr>
          <w:rFonts w:cs="Arial"/>
          <w:b/>
          <w:bCs/>
        </w:rPr>
        <w:t>Platební podmínky</w:t>
      </w:r>
    </w:p>
    <w:p w:rsidR="00262335" w:rsidRPr="00820A4B" w:rsidRDefault="00262335" w:rsidP="00262335">
      <w:pPr>
        <w:numPr>
          <w:ilvl w:val="0"/>
          <w:numId w:val="41"/>
        </w:numPr>
        <w:spacing w:before="96" w:after="0" w:line="240" w:lineRule="auto"/>
        <w:jc w:val="both"/>
        <w:rPr>
          <w:rFonts w:cs="Arial"/>
        </w:rPr>
      </w:pPr>
      <w:r w:rsidRPr="00820A4B">
        <w:rPr>
          <w:rFonts w:cs="Arial"/>
        </w:rPr>
        <w:t xml:space="preserve">Cena za poskytnuté služby bude objednatelem uhrazena na základě měsíční faktury vystavené poskytovatelem, přičemž tento může fakturu vystavit nejdříve po uplynutí kalendářního měsíce po poskytnutí služeb. </w:t>
      </w:r>
      <w:r w:rsidR="00CF045C" w:rsidRPr="00820A4B">
        <w:rPr>
          <w:rFonts w:cs="Arial"/>
        </w:rPr>
        <w:t>Z každé vystavené</w:t>
      </w:r>
      <w:r w:rsidR="00842639" w:rsidRPr="00820A4B">
        <w:rPr>
          <w:rFonts w:cs="Arial"/>
        </w:rPr>
        <w:t> faktury musí být zřejmé pro jakou část zakázky</w:t>
      </w:r>
      <w:r w:rsidR="00CF045C" w:rsidRPr="00820A4B">
        <w:rPr>
          <w:rFonts w:cs="Arial"/>
        </w:rPr>
        <w:t xml:space="preserve">, resp. </w:t>
      </w:r>
      <w:r w:rsidR="00842639" w:rsidRPr="00820A4B">
        <w:rPr>
          <w:rFonts w:cs="Arial"/>
        </w:rPr>
        <w:t xml:space="preserve">pro </w:t>
      </w:r>
      <w:r w:rsidR="00CF045C" w:rsidRPr="00820A4B">
        <w:rPr>
          <w:rFonts w:cs="Arial"/>
        </w:rPr>
        <w:t>které</w:t>
      </w:r>
      <w:r w:rsidR="00842639" w:rsidRPr="00820A4B">
        <w:rPr>
          <w:rFonts w:cs="Arial"/>
        </w:rPr>
        <w:t xml:space="preserve"> místo plnění</w:t>
      </w:r>
      <w:r w:rsidR="00CF045C" w:rsidRPr="00820A4B">
        <w:rPr>
          <w:rFonts w:cs="Arial"/>
        </w:rPr>
        <w:t>,</w:t>
      </w:r>
      <w:r w:rsidR="00842639" w:rsidRPr="00820A4B">
        <w:rPr>
          <w:rFonts w:cs="Arial"/>
        </w:rPr>
        <w:t xml:space="preserve"> a v jaké výši </w:t>
      </w:r>
      <w:r w:rsidR="00CF045C" w:rsidRPr="00820A4B">
        <w:rPr>
          <w:rFonts w:cs="Arial"/>
        </w:rPr>
        <w:t>příslušné výši je faktura vystavována.</w:t>
      </w:r>
    </w:p>
    <w:p w:rsidR="00262335" w:rsidRPr="00820A4B" w:rsidRDefault="00262335" w:rsidP="00262335">
      <w:pPr>
        <w:numPr>
          <w:ilvl w:val="0"/>
          <w:numId w:val="41"/>
        </w:numPr>
        <w:spacing w:before="96" w:after="0" w:line="240" w:lineRule="auto"/>
        <w:jc w:val="both"/>
        <w:rPr>
          <w:rFonts w:cs="Arial"/>
        </w:rPr>
      </w:pPr>
      <w:r w:rsidRPr="00820A4B">
        <w:rPr>
          <w:rFonts w:cs="Arial"/>
        </w:rPr>
        <w:t xml:space="preserve">Fakturační údaje objednatele: Správa železnic, státní organizace, Dlážděná 1003/7, Praha 1, PSČ 110 00,  IČO: 70994234, DIČ: CZ70994234, bankovní spojení: Česká národní banka, Ústí nad Labem, č. ú. 704411, kód banky: 0710, var. symbol - č. vystavené faktury. </w:t>
      </w:r>
      <w:r w:rsidR="00373141" w:rsidRPr="00820A4B">
        <w:rPr>
          <w:rFonts w:cs="Arial"/>
        </w:rPr>
        <w:t xml:space="preserve"> </w:t>
      </w:r>
    </w:p>
    <w:p w:rsidR="00262335" w:rsidRPr="00820A4B" w:rsidRDefault="00262335" w:rsidP="00262335">
      <w:pPr>
        <w:numPr>
          <w:ilvl w:val="0"/>
          <w:numId w:val="41"/>
        </w:numPr>
        <w:spacing w:before="96" w:after="0" w:line="240" w:lineRule="auto"/>
        <w:jc w:val="both"/>
        <w:rPr>
          <w:rFonts w:cs="Arial"/>
        </w:rPr>
      </w:pPr>
      <w:r w:rsidRPr="00820A4B">
        <w:rPr>
          <w:rFonts w:cs="Arial"/>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rsidR="00262335" w:rsidRPr="00820A4B" w:rsidRDefault="00262335" w:rsidP="00262335">
      <w:pPr>
        <w:numPr>
          <w:ilvl w:val="0"/>
          <w:numId w:val="41"/>
        </w:numPr>
        <w:spacing w:before="96" w:after="0" w:line="240" w:lineRule="auto"/>
        <w:jc w:val="both"/>
        <w:rPr>
          <w:rFonts w:cs="Arial"/>
        </w:rPr>
      </w:pPr>
      <w:r w:rsidRPr="00820A4B">
        <w:rPr>
          <w:rFonts w:cs="Arial"/>
        </w:rPr>
        <w:t>Faktura je splatná do 30 dnů ode dne jejího doručení objednateli.</w:t>
      </w:r>
    </w:p>
    <w:p w:rsidR="00262335" w:rsidRPr="00820A4B" w:rsidRDefault="00262335" w:rsidP="00262335">
      <w:pPr>
        <w:numPr>
          <w:ilvl w:val="0"/>
          <w:numId w:val="41"/>
        </w:numPr>
        <w:spacing w:before="96" w:after="0" w:line="240" w:lineRule="auto"/>
        <w:jc w:val="both"/>
        <w:rPr>
          <w:rFonts w:cs="Arial"/>
        </w:rPr>
      </w:pPr>
      <w:r w:rsidRPr="00820A4B">
        <w:rPr>
          <w:rFonts w:cs="Arial"/>
        </w:rPr>
        <w:t xml:space="preserve">Faktura musí obsahovat veškeré náležitosti daňového dokladu ve smyslu zákona č. 563/1991 Sb., o účetnictví, ve znění pozdějších předpisů, zákona č. 235/2004 Sb., o dani z přidané hodnoty, ve znění pozdějších předpisů a zákona č. 89/2012 Sb., občanský zákoník, ve znění pozdějších předpisů. Kromě náležitostí daňového dokladu musí faktura obsahovat též číslo smlouvy. </w:t>
      </w:r>
      <w:r w:rsidR="00CF045C" w:rsidRPr="00820A4B">
        <w:rPr>
          <w:rFonts w:cs="Arial"/>
        </w:rPr>
        <w:t>Přílohou faktury musí být vždy jedno vyhotovení Protokolu o převzetí potvrzeného objednatelem.</w:t>
      </w:r>
    </w:p>
    <w:p w:rsidR="00262335" w:rsidRPr="00820A4B" w:rsidRDefault="00262335" w:rsidP="00262335">
      <w:pPr>
        <w:numPr>
          <w:ilvl w:val="0"/>
          <w:numId w:val="41"/>
        </w:numPr>
        <w:spacing w:before="96" w:after="0" w:line="240" w:lineRule="auto"/>
        <w:jc w:val="both"/>
        <w:rPr>
          <w:rFonts w:cs="Arial"/>
        </w:rPr>
      </w:pPr>
      <w:r w:rsidRPr="00820A4B">
        <w:rPr>
          <w:rFonts w:cs="Arial"/>
        </w:rPr>
        <w:t xml:space="preserve">Nebude-li faktura splňovat náležitosti daňového dokladu, nebude-li obsahovat údaje uvedené v odstavci </w:t>
      </w:r>
      <w:r w:rsidR="00CF045C" w:rsidRPr="00820A4B">
        <w:rPr>
          <w:rFonts w:cs="Arial"/>
        </w:rPr>
        <w:t>5</w:t>
      </w:r>
      <w:r w:rsidRPr="00820A4B">
        <w:rPr>
          <w:rFonts w:cs="Arial"/>
        </w:rPr>
        <w:t xml:space="preserve"> tohoto článku, nebo nebude-li obsahovat správné cenové údaje, je objednatel oprávněn takovou fakturu vrátit do pěti dnů od jejího doručení zpět poskytovateli k přepracování či doplnění; lhůta splatnosti v takovém případě začíná plynout až doručením nové, opravené faktury.</w:t>
      </w:r>
    </w:p>
    <w:p w:rsidR="00262335" w:rsidRPr="00820A4B" w:rsidRDefault="00262335" w:rsidP="00262335">
      <w:pPr>
        <w:numPr>
          <w:ilvl w:val="0"/>
          <w:numId w:val="41"/>
        </w:numPr>
        <w:spacing w:before="96" w:after="0" w:line="240" w:lineRule="auto"/>
        <w:jc w:val="both"/>
        <w:rPr>
          <w:rFonts w:cs="Arial"/>
        </w:rPr>
      </w:pPr>
      <w:r w:rsidRPr="00820A4B">
        <w:rPr>
          <w:rFonts w:cs="Arial"/>
        </w:rPr>
        <w:t>Poskytovatel se zavazuje nepostoupit a nedat do zástavy své pohledávky a závazky plynoucí z této smlouvy třetím osobám bez předchozího písemného souhlasu objednatele. V případě, že poskytovatel poruší toto smluvní ujednání, je objednatel oprávněn účtovat poskytovateli smluvní pokutu ve výši 20% z hodnoty postoupené či zastavené pohledávky, minimálně však ve výši 5 000,- Kč, a to i v případě, kdy by se takové postoupení nebo zastavení pohledávky ukázalo jako neplatné.</w:t>
      </w:r>
    </w:p>
    <w:p w:rsidR="00262335" w:rsidRPr="00820A4B" w:rsidRDefault="00262335" w:rsidP="00262335">
      <w:pPr>
        <w:numPr>
          <w:ilvl w:val="0"/>
          <w:numId w:val="41"/>
        </w:numPr>
        <w:spacing w:before="96" w:after="0" w:line="240" w:lineRule="auto"/>
        <w:jc w:val="both"/>
        <w:rPr>
          <w:rFonts w:cs="Arial"/>
        </w:rPr>
      </w:pPr>
      <w:r w:rsidRPr="00820A4B">
        <w:rPr>
          <w:rFonts w:cs="Arial"/>
        </w:rPr>
        <w:t xml:space="preserve">Pokud objednateli vznikne, podle §109 zákona o DPH, ručení za nezaplacenou DPH z přijatého zdanitelného plnění od poskytovatele, má objednatel právo bez souhlasu poskytovatel uplatnit postup zvláštního způsobu zajištění daně podle §109a zákona o DPH. </w:t>
      </w:r>
      <w:r w:rsidRPr="00820A4B">
        <w:rPr>
          <w:rFonts w:cs="Arial"/>
        </w:rPr>
        <w:lastRenderedPageBreak/>
        <w:t>Při uplatnění zvláštního způsobu zajištění daně uhradí objednatel částku DPH podle daňového dokladu vystaveného poskytovatelem na účet správce daně poskytovatele a poskytovatele o tomto kroku vhodným způsobem vyrozumí. Zaplacením částky DPH na účet správce daně poskytovatele a vyrozuměním poskytovatele o tomto kroku se závazek objednatele uhradit částku odpovídající výši takto zaplacené DPH vyplývající z této smlouvy považuje za splněný.</w:t>
      </w:r>
      <w:r w:rsidR="00C564AB" w:rsidRPr="00820A4B">
        <w:rPr>
          <w:rFonts w:cs="Arial"/>
        </w:rPr>
        <w:t xml:space="preserve"> </w:t>
      </w:r>
    </w:p>
    <w:p w:rsidR="00262335" w:rsidRPr="00820A4B" w:rsidRDefault="00262335" w:rsidP="00262335">
      <w:pPr>
        <w:spacing w:before="96"/>
        <w:ind w:left="720"/>
        <w:jc w:val="center"/>
        <w:rPr>
          <w:rFonts w:cs="Arial"/>
        </w:rPr>
      </w:pPr>
    </w:p>
    <w:p w:rsidR="00262335" w:rsidRPr="00820A4B" w:rsidRDefault="00262335" w:rsidP="00262335">
      <w:pPr>
        <w:spacing w:before="96"/>
        <w:jc w:val="center"/>
        <w:rPr>
          <w:rFonts w:cs="Arial"/>
          <w:b/>
          <w:bCs/>
        </w:rPr>
      </w:pPr>
      <w:r w:rsidRPr="00820A4B">
        <w:rPr>
          <w:rFonts w:cs="Arial"/>
          <w:b/>
          <w:bCs/>
        </w:rPr>
        <w:t>Článek IV.</w:t>
      </w:r>
    </w:p>
    <w:p w:rsidR="00262335" w:rsidRPr="00820A4B" w:rsidRDefault="00262335" w:rsidP="00262335">
      <w:pPr>
        <w:spacing w:before="96"/>
        <w:jc w:val="center"/>
        <w:rPr>
          <w:rFonts w:cs="Arial"/>
          <w:b/>
          <w:bCs/>
        </w:rPr>
      </w:pPr>
      <w:r w:rsidRPr="00820A4B">
        <w:rPr>
          <w:rFonts w:cs="Arial"/>
          <w:b/>
          <w:bCs/>
        </w:rPr>
        <w:t>Práva a povinnosti smluvních stran</w:t>
      </w:r>
    </w:p>
    <w:p w:rsidR="00262335" w:rsidRPr="00820A4B" w:rsidRDefault="00262335" w:rsidP="00262335">
      <w:pPr>
        <w:numPr>
          <w:ilvl w:val="0"/>
          <w:numId w:val="36"/>
        </w:numPr>
        <w:spacing w:before="96" w:after="0" w:line="240" w:lineRule="auto"/>
        <w:jc w:val="both"/>
        <w:rPr>
          <w:rFonts w:cs="Arial"/>
        </w:rPr>
      </w:pPr>
      <w:r w:rsidRPr="00820A4B">
        <w:rPr>
          <w:rFonts w:cs="Arial"/>
        </w:rPr>
        <w:t>Poskytovatel prohlašuje, že je oprávněn poskytovat služby v rozsahu této smlouvy a zavazuje se mít příslušná oprávnění platná po celou dobu trávní této smlouvy.</w:t>
      </w:r>
    </w:p>
    <w:p w:rsidR="00262335" w:rsidRPr="00820A4B" w:rsidRDefault="00262335" w:rsidP="00262335">
      <w:pPr>
        <w:pStyle w:val="Zkladntext20"/>
        <w:numPr>
          <w:ilvl w:val="0"/>
          <w:numId w:val="36"/>
        </w:numPr>
        <w:shd w:val="clear" w:color="auto" w:fill="auto"/>
        <w:spacing w:before="96" w:line="240" w:lineRule="auto"/>
        <w:jc w:val="both"/>
        <w:rPr>
          <w:rFonts w:asciiTheme="minorHAnsi" w:hAnsiTheme="minorHAnsi" w:cs="Arial"/>
        </w:rPr>
      </w:pPr>
      <w:r w:rsidRPr="00820A4B">
        <w:rPr>
          <w:rFonts w:asciiTheme="minorHAnsi" w:hAnsiTheme="minorHAnsi" w:cs="Arial"/>
        </w:rPr>
        <w:t>Poskytovatel se zavazuje provádět plnění dle této smlouvy vlastním jménem a na vlastní odpovědnost řádně, s odbornou péčí, v souladu, touto smlouvou, jejími přílohami, dobrými mravy, zájmy a pokyny objednatele.</w:t>
      </w:r>
    </w:p>
    <w:p w:rsidR="00262335" w:rsidRPr="00820A4B" w:rsidRDefault="00262335" w:rsidP="00262335">
      <w:pPr>
        <w:pStyle w:val="Zkladntext20"/>
        <w:numPr>
          <w:ilvl w:val="0"/>
          <w:numId w:val="36"/>
        </w:numPr>
        <w:shd w:val="clear" w:color="auto" w:fill="auto"/>
        <w:spacing w:before="96" w:line="240" w:lineRule="auto"/>
        <w:jc w:val="both"/>
        <w:rPr>
          <w:rFonts w:asciiTheme="minorHAnsi" w:hAnsiTheme="minorHAnsi" w:cs="Arial"/>
        </w:rPr>
      </w:pPr>
      <w:r w:rsidRPr="00820A4B">
        <w:rPr>
          <w:rFonts w:asciiTheme="minorHAnsi" w:hAnsiTheme="minorHAnsi" w:cs="Arial"/>
        </w:rPr>
        <w:t>Poskytovatel se dále zavazuje:</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dodržovat příslušné právní předpisy, zejména bezpečnostní, hygienické, požární a ekologické;</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zajistit na veřejných toaletách po celou dobu jejich otevírací doby stálý personální dohled, který bude mít za povinnost poskytnout asistenci návštěvníkům a zajistit pořádek a čistotu toalet včetně přilehlých prostor;</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 xml:space="preserve">proškolit pracovníky podílející se na zajištění provozu veřejného WC o předpisech k zajištění BOZP a PO (bezpečnosti a ochrany zdraví při práci a požární ochrany) a o hygienických požadavcích na úklid a čištění. Dále se poskytovatel zavazuje pracovníky prokazatelně seznámit se Směrnicí SŽDC č. 120 Dodržování zákazu kouření, požívání alkoholických nápojů a užívání jiných návykových látek (dále jen „Směrnice č. 120“), která tvoří </w:t>
      </w:r>
      <w:r w:rsidR="00C564AB" w:rsidRPr="00820A4B">
        <w:rPr>
          <w:rFonts w:asciiTheme="minorHAnsi" w:hAnsiTheme="minorHAnsi" w:cs="Arial"/>
        </w:rPr>
        <w:t xml:space="preserve">přílohu </w:t>
      </w:r>
      <w:r w:rsidR="00C564AB" w:rsidRPr="00820A4B">
        <w:rPr>
          <w:rFonts w:cs="Arial"/>
        </w:rPr>
        <w:t xml:space="preserve">č.2 </w:t>
      </w:r>
      <w:r w:rsidRPr="00820A4B">
        <w:rPr>
          <w:rFonts w:asciiTheme="minorHAnsi" w:hAnsiTheme="minorHAnsi" w:cs="Arial"/>
        </w:rPr>
        <w:t xml:space="preserve">této smlouvy a se Závazným pokynem k pobytu v železniční stanici; </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zajistit, aby pracovníci poskytovatele pravidelně kontrolovali chod mincovních automatů, případně turniketů pro otevírání dveří. V případě, kdy poskytovatel nebo jeho pracovník zjistí poruchu či poškození těchto zařízení je poskytovatel povinen oznámit tuto skutečnost neprodleně kontaktní osobě objednatele;</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strpět kontrolní činnost objednatele a poskytnout objednateli k výkonu kontrolní činnosti maximální součinnost;</w:t>
      </w:r>
    </w:p>
    <w:p w:rsidR="00262335" w:rsidRPr="00820A4B" w:rsidRDefault="00262335" w:rsidP="00262335">
      <w:pPr>
        <w:pStyle w:val="Zkladntext20"/>
        <w:numPr>
          <w:ilvl w:val="0"/>
          <w:numId w:val="37"/>
        </w:numPr>
        <w:shd w:val="clear" w:color="auto" w:fill="auto"/>
        <w:tabs>
          <w:tab w:val="left" w:pos="709"/>
        </w:tabs>
        <w:spacing w:before="96" w:line="240" w:lineRule="auto"/>
        <w:jc w:val="both"/>
        <w:rPr>
          <w:rFonts w:asciiTheme="minorHAnsi" w:hAnsiTheme="minorHAnsi" w:cs="Arial"/>
        </w:rPr>
      </w:pPr>
      <w:r w:rsidRPr="00820A4B">
        <w:rPr>
          <w:rFonts w:asciiTheme="minorHAnsi" w:hAnsiTheme="minorHAnsi" w:cs="Arial"/>
        </w:rPr>
        <w:t>nebude-li poskytovatelem určeno jinak, nejpozději následující pracovní den po uplatnění vady plnění dle této smlouvy objednatelem, odstranit uplatněné vady plnění.</w:t>
      </w:r>
    </w:p>
    <w:p w:rsidR="00262335" w:rsidRPr="00820A4B" w:rsidRDefault="00262335" w:rsidP="00262335">
      <w:pPr>
        <w:numPr>
          <w:ilvl w:val="0"/>
          <w:numId w:val="36"/>
        </w:numPr>
        <w:spacing w:before="96" w:after="0" w:line="240" w:lineRule="auto"/>
        <w:jc w:val="both"/>
        <w:rPr>
          <w:rFonts w:eastAsia="FreeSans" w:cs="Arial"/>
        </w:rPr>
      </w:pPr>
      <w:r w:rsidRPr="00820A4B">
        <w:rPr>
          <w:rFonts w:eastAsia="FreeSans" w:cs="Arial"/>
        </w:rPr>
        <w:t xml:space="preserve">Poskytovatel je povinen, v případě potřeby objednatele, resp. dodavatele služby úklidu veřejně přístupných prostor (dále jen „VPP“), strpět umístění úklidového stroje v prostorách WC a dále strpět uložení úklidových prostředků za účelem poskytování úklidu VPP. V případě umístění úklidového stroje se poskytovatel zavazuje poskytnout dodavateli služby úklidu VPP odběr el. energie a vody. </w:t>
      </w:r>
    </w:p>
    <w:p w:rsidR="00262335" w:rsidRPr="00820A4B" w:rsidRDefault="00262335" w:rsidP="00262335">
      <w:pPr>
        <w:numPr>
          <w:ilvl w:val="0"/>
          <w:numId w:val="36"/>
        </w:numPr>
        <w:spacing w:before="96" w:after="0" w:line="240" w:lineRule="auto"/>
        <w:jc w:val="both"/>
        <w:rPr>
          <w:rFonts w:cs="Arial"/>
        </w:rPr>
      </w:pPr>
      <w:r w:rsidRPr="00820A4B">
        <w:rPr>
          <w:rFonts w:cs="Arial"/>
        </w:rPr>
        <w:t>Objednatel se zavazuje hradit veškeré služby související s provozem veřejných WC, včetně vodného a stočného.</w:t>
      </w:r>
    </w:p>
    <w:p w:rsidR="00262335" w:rsidRPr="00820A4B" w:rsidRDefault="00262335" w:rsidP="00262335">
      <w:pPr>
        <w:numPr>
          <w:ilvl w:val="0"/>
          <w:numId w:val="36"/>
        </w:numPr>
        <w:spacing w:before="96" w:after="0" w:line="240" w:lineRule="auto"/>
        <w:jc w:val="both"/>
        <w:rPr>
          <w:rFonts w:cs="Arial"/>
        </w:rPr>
      </w:pPr>
      <w:r w:rsidRPr="00820A4B">
        <w:rPr>
          <w:rFonts w:cs="Arial"/>
        </w:rPr>
        <w:t>Poskytovatel odpovídá za veškeré škody způsobené při plnění této smlouvy, a to jak za škody způsobené objednateli tak i za škody způsobené třetím osobám a je povinen k jejich náhradě.</w:t>
      </w:r>
    </w:p>
    <w:p w:rsidR="00262335" w:rsidRPr="00820A4B" w:rsidRDefault="00262335" w:rsidP="00262335">
      <w:pPr>
        <w:numPr>
          <w:ilvl w:val="0"/>
          <w:numId w:val="36"/>
        </w:numPr>
        <w:spacing w:before="96" w:after="0" w:line="240" w:lineRule="auto"/>
        <w:jc w:val="both"/>
        <w:rPr>
          <w:rFonts w:cs="Arial"/>
        </w:rPr>
      </w:pPr>
      <w:r w:rsidRPr="00820A4B">
        <w:rPr>
          <w:rFonts w:eastAsia="FreeSans" w:cs="Arial"/>
        </w:rPr>
        <w:t>Poskytovatel je povinen mít po celou dobu poskytování služby dle této smlouvy pojištění odpovědnosti za škodu způsobenou provozní činností.</w:t>
      </w:r>
    </w:p>
    <w:p w:rsidR="00262335" w:rsidRPr="00820A4B" w:rsidRDefault="00262335" w:rsidP="00262335">
      <w:pPr>
        <w:numPr>
          <w:ilvl w:val="0"/>
          <w:numId w:val="36"/>
        </w:numPr>
        <w:spacing w:before="96" w:after="0" w:line="240" w:lineRule="auto"/>
        <w:jc w:val="both"/>
        <w:rPr>
          <w:rFonts w:eastAsia="Times New Roman" w:cs="Arial"/>
        </w:rPr>
      </w:pPr>
      <w:r w:rsidRPr="00820A4B">
        <w:rPr>
          <w:rFonts w:eastAsia="FreeSans" w:cs="Arial"/>
        </w:rPr>
        <w:t>Prostory veřejných WC, ve kterých bude činnost dle této smlouvy provozována, budou poskytovateli protokolárně předány.</w:t>
      </w:r>
    </w:p>
    <w:p w:rsidR="00262335" w:rsidRPr="00820A4B" w:rsidRDefault="00262335" w:rsidP="00262335">
      <w:pPr>
        <w:numPr>
          <w:ilvl w:val="0"/>
          <w:numId w:val="36"/>
        </w:numPr>
        <w:spacing w:before="96" w:after="0" w:line="240" w:lineRule="auto"/>
        <w:jc w:val="both"/>
        <w:rPr>
          <w:rFonts w:eastAsia="Times New Roman" w:cs="Arial"/>
        </w:rPr>
      </w:pPr>
      <w:r w:rsidRPr="00820A4B">
        <w:rPr>
          <w:rFonts w:cs="Arial"/>
        </w:rPr>
        <w:t>Poskytovatel se zavazuje hospodařit s energiemi účelně a hospodárně. V případě, kdy vznikne nebo by mohla vzniknout objednateli škoda (např. havárie, protékání vody), je poskytovatel povinen takovou skutečnost bezodkladně objednateli oznámit, přičemž hrozí-li objednateli škoda bezprostředně, vyvine poskytovatel maximální možné úsilí k jejímu odvrácení.</w:t>
      </w:r>
    </w:p>
    <w:p w:rsidR="00262335" w:rsidRPr="00820A4B" w:rsidRDefault="00D4452C" w:rsidP="00262335">
      <w:pPr>
        <w:numPr>
          <w:ilvl w:val="0"/>
          <w:numId w:val="36"/>
        </w:numPr>
        <w:spacing w:before="96" w:after="0" w:line="240" w:lineRule="auto"/>
        <w:jc w:val="both"/>
        <w:rPr>
          <w:rFonts w:eastAsia="Times New Roman" w:cs="Arial"/>
        </w:rPr>
      </w:pPr>
      <w:r w:rsidRPr="00820A4B">
        <w:rPr>
          <w:rFonts w:cs="Arial"/>
        </w:rPr>
        <w:t>Poskytovatel bere na vědomí</w:t>
      </w:r>
      <w:r w:rsidR="00CF045C" w:rsidRPr="00820A4B">
        <w:rPr>
          <w:rFonts w:cs="Arial"/>
        </w:rPr>
        <w:t>, že v</w:t>
      </w:r>
      <w:r w:rsidR="00262335" w:rsidRPr="00820A4B">
        <w:rPr>
          <w:rFonts w:cs="Arial"/>
        </w:rPr>
        <w:t xml:space="preserve">ybrané poplatky z mincovních automatů jsou příjmem objednatele. Poskytovatel </w:t>
      </w:r>
      <w:r w:rsidRPr="00820A4B">
        <w:rPr>
          <w:rFonts w:cs="Arial"/>
        </w:rPr>
        <w:t>je povinen zdržet se</w:t>
      </w:r>
      <w:r w:rsidR="00262335" w:rsidRPr="00820A4B">
        <w:rPr>
          <w:rFonts w:cs="Arial"/>
        </w:rPr>
        <w:t> výběru jakýchkoliv p</w:t>
      </w:r>
      <w:r w:rsidRPr="00820A4B">
        <w:rPr>
          <w:rFonts w:cs="Arial"/>
        </w:rPr>
        <w:t>oplatků za použití veřejného WC, přičemž porušení této povinnosti je důvodem pro okamžité odstoupení od smlouvy.</w:t>
      </w:r>
    </w:p>
    <w:p w:rsidR="00262335" w:rsidRPr="00820A4B" w:rsidRDefault="00262335" w:rsidP="00262335">
      <w:pPr>
        <w:spacing w:before="96"/>
        <w:jc w:val="center"/>
        <w:rPr>
          <w:rFonts w:cs="Arial"/>
          <w:b/>
          <w:bCs/>
        </w:rPr>
      </w:pPr>
      <w:r w:rsidRPr="00820A4B">
        <w:rPr>
          <w:rFonts w:cs="Arial"/>
          <w:b/>
          <w:bCs/>
        </w:rPr>
        <w:t>Článek V.</w:t>
      </w:r>
    </w:p>
    <w:p w:rsidR="00262335" w:rsidRPr="00820A4B" w:rsidRDefault="00262335" w:rsidP="00262335">
      <w:pPr>
        <w:spacing w:before="96"/>
        <w:jc w:val="center"/>
        <w:rPr>
          <w:rFonts w:cs="Arial"/>
          <w:b/>
          <w:bCs/>
        </w:rPr>
      </w:pPr>
      <w:r w:rsidRPr="00820A4B">
        <w:rPr>
          <w:rFonts w:cs="Arial"/>
          <w:b/>
          <w:bCs/>
        </w:rPr>
        <w:t>Porušení smluvních povinností</w:t>
      </w:r>
    </w:p>
    <w:p w:rsidR="00262335" w:rsidRPr="00820A4B" w:rsidRDefault="00262335" w:rsidP="00262335">
      <w:pPr>
        <w:numPr>
          <w:ilvl w:val="0"/>
          <w:numId w:val="42"/>
        </w:numPr>
        <w:spacing w:before="96" w:after="0" w:line="240" w:lineRule="auto"/>
        <w:jc w:val="both"/>
        <w:rPr>
          <w:rFonts w:eastAsia="FreeSans" w:cs="Arial"/>
        </w:rPr>
      </w:pPr>
      <w:r w:rsidRPr="00820A4B">
        <w:rPr>
          <w:rFonts w:eastAsia="FreeSans" w:cs="Arial"/>
        </w:rPr>
        <w:t>Smluvní strany se dohodly na následujících sankcích za porušení smluvních povinností:</w:t>
      </w:r>
    </w:p>
    <w:p w:rsidR="00262335" w:rsidRPr="00820A4B" w:rsidRDefault="00262335" w:rsidP="00262335">
      <w:pPr>
        <w:numPr>
          <w:ilvl w:val="0"/>
          <w:numId w:val="43"/>
        </w:numPr>
        <w:spacing w:before="96" w:after="0" w:line="240" w:lineRule="auto"/>
        <w:jc w:val="both"/>
        <w:rPr>
          <w:rFonts w:eastAsia="FreeSans" w:cs="Arial"/>
        </w:rPr>
      </w:pPr>
      <w:r w:rsidRPr="00820A4B">
        <w:rPr>
          <w:rFonts w:eastAsia="FreeSans" w:cs="Arial"/>
        </w:rPr>
        <w:t xml:space="preserve">objednatel je oprávněn požadovat po poskytovateli smluvní pokutu za nedodržení činností spojených s údržbou prostor veřejných WC v provozuschopném stavu nebo v případě nezajištění úklidu prostor veřejných WC, a to ve výši 1.000,- Kč za každé porušení povinnosti, </w:t>
      </w:r>
    </w:p>
    <w:p w:rsidR="00262335" w:rsidRPr="00820A4B" w:rsidRDefault="00262335" w:rsidP="00262335">
      <w:pPr>
        <w:numPr>
          <w:ilvl w:val="0"/>
          <w:numId w:val="43"/>
        </w:numPr>
        <w:spacing w:before="96" w:after="0" w:line="240" w:lineRule="auto"/>
        <w:jc w:val="both"/>
        <w:rPr>
          <w:rFonts w:eastAsia="FreeSans" w:cs="Arial"/>
        </w:rPr>
      </w:pPr>
      <w:r w:rsidRPr="00820A4B">
        <w:rPr>
          <w:rFonts w:eastAsia="FreeSans" w:cs="Arial"/>
        </w:rPr>
        <w:t>objednatel je oprávněn požadovat po poskytovateli smluvní pokutu v případě, kdy nebude zajištěn stálý personální dohled, a to ve výši 2.000,- Kč za každé porušení této povinnosti;</w:t>
      </w:r>
    </w:p>
    <w:p w:rsidR="00262335" w:rsidRPr="00820A4B" w:rsidRDefault="00262335" w:rsidP="00262335">
      <w:pPr>
        <w:numPr>
          <w:ilvl w:val="0"/>
          <w:numId w:val="43"/>
        </w:numPr>
        <w:spacing w:before="96" w:after="0" w:line="240" w:lineRule="auto"/>
        <w:jc w:val="both"/>
        <w:rPr>
          <w:rFonts w:eastAsia="FreeSans" w:cs="Arial"/>
        </w:rPr>
      </w:pPr>
      <w:r w:rsidRPr="00820A4B">
        <w:rPr>
          <w:rFonts w:eastAsia="FreeSans" w:cs="Arial"/>
        </w:rPr>
        <w:t>objednatel je oprávněn požadovat po poskytovateli smluvní pokutu v případě, kdy poskytovatel prostřednictvím svých pracovníků poruší Směrnici č. 120, a to ve výši 600,- Kč za každý jednotlivý případ;</w:t>
      </w:r>
    </w:p>
    <w:p w:rsidR="00CF045C" w:rsidRPr="00820A4B" w:rsidRDefault="00CF045C" w:rsidP="00262335">
      <w:pPr>
        <w:numPr>
          <w:ilvl w:val="0"/>
          <w:numId w:val="43"/>
        </w:numPr>
        <w:spacing w:before="96" w:after="0" w:line="240" w:lineRule="auto"/>
        <w:jc w:val="both"/>
        <w:rPr>
          <w:rFonts w:eastAsia="FreeSans" w:cs="Arial"/>
        </w:rPr>
      </w:pPr>
      <w:r w:rsidRPr="00820A4B">
        <w:rPr>
          <w:rFonts w:eastAsia="FreeSans" w:cs="Arial"/>
        </w:rPr>
        <w:t>v případě, kdy objednatel zjistí, že poskytovatel neoprávněně vybírá poplatky za použití</w:t>
      </w:r>
      <w:r w:rsidR="00D4452C" w:rsidRPr="00820A4B">
        <w:rPr>
          <w:rFonts w:eastAsia="FreeSans" w:cs="Arial"/>
        </w:rPr>
        <w:t xml:space="preserve"> veřejných WC, zavazuje se poskytovatel uhradit objednateli smluvní pokutu ve výši 5.000,- Kč, a to za každé takové pochybení;</w:t>
      </w:r>
    </w:p>
    <w:p w:rsidR="00262335" w:rsidRPr="005D0030" w:rsidRDefault="00262335" w:rsidP="00262335">
      <w:pPr>
        <w:numPr>
          <w:ilvl w:val="0"/>
          <w:numId w:val="43"/>
        </w:numPr>
        <w:spacing w:before="96" w:after="0" w:line="240" w:lineRule="auto"/>
        <w:jc w:val="both"/>
        <w:rPr>
          <w:rFonts w:eastAsia="FreeSans" w:cs="Arial"/>
        </w:rPr>
      </w:pPr>
      <w:r w:rsidRPr="005D0030">
        <w:rPr>
          <w:rFonts w:eastAsia="FreeSans" w:cs="Arial"/>
        </w:rPr>
        <w:t>poskytovatel je oprávněn požadovat po objednateli úrok z prodlení ve výši 0,05 % z oprávněně fakturované částky v případě, kdy objednatel je v prodlení se splacením faktury déle než 15 dní, a to za každý i započatý den prodlení.</w:t>
      </w:r>
    </w:p>
    <w:p w:rsidR="00262335" w:rsidRPr="005D0030" w:rsidRDefault="00262335" w:rsidP="00262335">
      <w:pPr>
        <w:numPr>
          <w:ilvl w:val="0"/>
          <w:numId w:val="42"/>
        </w:numPr>
        <w:spacing w:before="96" w:after="0" w:line="240" w:lineRule="auto"/>
        <w:jc w:val="both"/>
        <w:rPr>
          <w:rFonts w:eastAsia="FreeSans" w:cs="Arial"/>
        </w:rPr>
      </w:pPr>
      <w:r w:rsidRPr="005D0030">
        <w:rPr>
          <w:rFonts w:eastAsia="FreeSans" w:cs="Arial"/>
        </w:rPr>
        <w:t>Zaplacením smluvní pokuty není dotčeno právo na náhradu škody, a to i ve výši přesahující smluvní pokutu.</w:t>
      </w:r>
    </w:p>
    <w:p w:rsidR="00262335" w:rsidRPr="005D0030" w:rsidRDefault="00262335" w:rsidP="00262335">
      <w:pPr>
        <w:numPr>
          <w:ilvl w:val="0"/>
          <w:numId w:val="42"/>
        </w:numPr>
        <w:spacing w:before="96" w:after="0" w:line="240" w:lineRule="auto"/>
        <w:jc w:val="both"/>
        <w:rPr>
          <w:rFonts w:eastAsia="FreeSans" w:cs="Arial"/>
        </w:rPr>
      </w:pPr>
      <w:r w:rsidRPr="005D0030">
        <w:rPr>
          <w:rFonts w:eastAsia="FreeSans" w:cs="Arial"/>
        </w:rPr>
        <w:t xml:space="preserve">Smluvní pokuta bude poskytovatelem zaplacena k výzvě objednatele, </w:t>
      </w:r>
      <w:r>
        <w:rPr>
          <w:rFonts w:eastAsia="FreeSans" w:cs="Arial"/>
        </w:rPr>
        <w:t xml:space="preserve">a </w:t>
      </w:r>
      <w:r w:rsidRPr="005D0030">
        <w:rPr>
          <w:rFonts w:eastAsia="FreeSans" w:cs="Arial"/>
        </w:rPr>
        <w:t>to se splatností 14 dnů od</w:t>
      </w:r>
      <w:r>
        <w:rPr>
          <w:rFonts w:eastAsia="FreeSans" w:cs="Arial"/>
        </w:rPr>
        <w:t>e</w:t>
      </w:r>
      <w:r w:rsidRPr="005D0030">
        <w:rPr>
          <w:rFonts w:eastAsia="FreeSans" w:cs="Arial"/>
        </w:rPr>
        <w:t xml:space="preserve"> dne doručení výzvy k</w:t>
      </w:r>
      <w:r>
        <w:rPr>
          <w:rFonts w:eastAsia="FreeSans" w:cs="Arial"/>
        </w:rPr>
        <w:t> </w:t>
      </w:r>
      <w:r w:rsidRPr="005D0030">
        <w:rPr>
          <w:rFonts w:eastAsia="FreeSans" w:cs="Arial"/>
        </w:rPr>
        <w:t>úhradě</w:t>
      </w:r>
      <w:r>
        <w:rPr>
          <w:rFonts w:eastAsia="FreeSans" w:cs="Arial"/>
        </w:rPr>
        <w:t>.</w:t>
      </w:r>
    </w:p>
    <w:p w:rsidR="00262335" w:rsidRPr="005D0030" w:rsidRDefault="00262335" w:rsidP="00262335">
      <w:pPr>
        <w:numPr>
          <w:ilvl w:val="0"/>
          <w:numId w:val="42"/>
        </w:numPr>
        <w:spacing w:before="96" w:after="0" w:line="240" w:lineRule="auto"/>
        <w:jc w:val="both"/>
        <w:rPr>
          <w:rFonts w:eastAsia="FreeSans" w:cs="Arial"/>
        </w:rPr>
      </w:pPr>
      <w:r w:rsidRPr="005D0030">
        <w:rPr>
          <w:rFonts w:eastAsia="FreeSans" w:cs="Arial"/>
        </w:rPr>
        <w:t>Objednatel je oprávněn, zejména v případě, kdy poskytovatel ve stanovené lhůtě neuhradí smluvní pokutu, provést jednostranné započtení takových pohledávek vůči pohledávkám poskytovatele na zaplacení ceny za řádně provedené služby.</w:t>
      </w:r>
    </w:p>
    <w:p w:rsidR="00262335" w:rsidRPr="005D0030" w:rsidRDefault="00262335" w:rsidP="00262335">
      <w:pPr>
        <w:spacing w:before="96"/>
        <w:ind w:left="360"/>
        <w:jc w:val="center"/>
        <w:rPr>
          <w:rFonts w:eastAsia="FreeSans" w:cs="Arial"/>
        </w:rPr>
      </w:pPr>
    </w:p>
    <w:p w:rsidR="00262335" w:rsidRPr="005D0030" w:rsidRDefault="00262335" w:rsidP="00262335">
      <w:pPr>
        <w:spacing w:before="96"/>
        <w:jc w:val="center"/>
        <w:rPr>
          <w:rFonts w:cs="Arial"/>
          <w:b/>
          <w:bCs/>
        </w:rPr>
      </w:pPr>
      <w:r w:rsidRPr="005D0030">
        <w:rPr>
          <w:rFonts w:cs="Arial"/>
          <w:b/>
          <w:bCs/>
        </w:rPr>
        <w:t>Článek VI.</w:t>
      </w:r>
    </w:p>
    <w:p w:rsidR="00262335" w:rsidRPr="005D0030" w:rsidRDefault="00262335" w:rsidP="00262335">
      <w:pPr>
        <w:spacing w:before="96"/>
        <w:jc w:val="center"/>
        <w:rPr>
          <w:rFonts w:cs="Arial"/>
          <w:b/>
          <w:bCs/>
        </w:rPr>
      </w:pPr>
      <w:r w:rsidRPr="005D0030">
        <w:rPr>
          <w:rFonts w:cs="Arial"/>
          <w:b/>
          <w:bCs/>
        </w:rPr>
        <w:t>Součinnost</w:t>
      </w:r>
    </w:p>
    <w:p w:rsidR="00262335" w:rsidRPr="005D0030" w:rsidRDefault="00262335" w:rsidP="00262335">
      <w:pPr>
        <w:numPr>
          <w:ilvl w:val="0"/>
          <w:numId w:val="40"/>
        </w:numPr>
        <w:overflowPunct w:val="0"/>
        <w:autoSpaceDE w:val="0"/>
        <w:autoSpaceDN w:val="0"/>
        <w:adjustRightInd w:val="0"/>
        <w:spacing w:before="96" w:after="0" w:line="240" w:lineRule="auto"/>
        <w:jc w:val="both"/>
        <w:textAlignment w:val="baseline"/>
        <w:rPr>
          <w:rFonts w:cs="Arial"/>
          <w:bCs/>
        </w:rPr>
      </w:pPr>
      <w:r w:rsidRPr="005D0030">
        <w:rPr>
          <w:rFonts w:cs="Arial"/>
          <w:bCs/>
        </w:rPr>
        <w:t>Smluvní strany se zavazují vyvinout veškeré úsilí k vytvoření potřebných podmínek pro poskytování plnění dle této smlouvy. To platí i v případech, kde to není výslovně stanoveno ustanovením této smlouvy.</w:t>
      </w:r>
    </w:p>
    <w:p w:rsidR="00262335" w:rsidRDefault="00262335" w:rsidP="00262335">
      <w:pPr>
        <w:numPr>
          <w:ilvl w:val="0"/>
          <w:numId w:val="40"/>
        </w:numPr>
        <w:overflowPunct w:val="0"/>
        <w:autoSpaceDE w:val="0"/>
        <w:autoSpaceDN w:val="0"/>
        <w:adjustRightInd w:val="0"/>
        <w:spacing w:before="96" w:after="0" w:line="240" w:lineRule="auto"/>
        <w:jc w:val="both"/>
        <w:textAlignment w:val="baseline"/>
        <w:rPr>
          <w:rFonts w:cs="Arial"/>
          <w:bCs/>
        </w:rPr>
      </w:pPr>
      <w:r w:rsidRPr="005D0030">
        <w:rPr>
          <w:rFonts w:cs="Arial"/>
          <w:bCs/>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r>
        <w:rPr>
          <w:rFonts w:cs="Arial"/>
          <w:bCs/>
        </w:rPr>
        <w:t>.</w:t>
      </w:r>
    </w:p>
    <w:p w:rsidR="00262335" w:rsidRDefault="00262335" w:rsidP="00262335">
      <w:pPr>
        <w:numPr>
          <w:ilvl w:val="0"/>
          <w:numId w:val="40"/>
        </w:numPr>
        <w:overflowPunct w:val="0"/>
        <w:autoSpaceDE w:val="0"/>
        <w:autoSpaceDN w:val="0"/>
        <w:adjustRightInd w:val="0"/>
        <w:spacing w:before="96" w:after="0" w:line="240" w:lineRule="auto"/>
        <w:jc w:val="both"/>
        <w:textAlignment w:val="baseline"/>
        <w:rPr>
          <w:rFonts w:cs="Arial"/>
          <w:bCs/>
        </w:rPr>
      </w:pPr>
      <w:r>
        <w:rPr>
          <w:rFonts w:cs="Arial"/>
          <w:bCs/>
        </w:rPr>
        <w:t>Kontaktními osobami smluvních stran jsou:</w:t>
      </w:r>
    </w:p>
    <w:p w:rsidR="002F0DD8" w:rsidRPr="002F0DD8" w:rsidRDefault="00262335" w:rsidP="002F0DD8">
      <w:pPr>
        <w:numPr>
          <w:ilvl w:val="0"/>
          <w:numId w:val="44"/>
        </w:numPr>
        <w:spacing w:before="96" w:after="0" w:line="240" w:lineRule="auto"/>
        <w:rPr>
          <w:rFonts w:eastAsia="FreeSans" w:cs="Arial"/>
        </w:rPr>
      </w:pPr>
      <w:r w:rsidRPr="002F0DD8">
        <w:rPr>
          <w:rFonts w:eastAsia="FreeSans" w:cs="Arial"/>
        </w:rPr>
        <w:t>za objednatele: Pavel Boček</w:t>
      </w:r>
      <w:r w:rsidR="00373141" w:rsidRPr="002F0DD8">
        <w:rPr>
          <w:rFonts w:eastAsia="FreeSans" w:cs="Arial"/>
        </w:rPr>
        <w:t xml:space="preserve">, tel.: </w:t>
      </w:r>
      <w:r w:rsidR="002F0DD8" w:rsidRPr="002F0DD8">
        <w:rPr>
          <w:rFonts w:eastAsia="FreeSans" w:cs="Arial"/>
        </w:rPr>
        <w:t xml:space="preserve">+420 972 422 551, mobil: +420 601 087 434 </w:t>
      </w:r>
      <w:r w:rsidR="00373141" w:rsidRPr="002F0DD8">
        <w:rPr>
          <w:rFonts w:eastAsia="FreeSans" w:cs="Arial"/>
        </w:rPr>
        <w:t xml:space="preserve">, email: </w:t>
      </w:r>
      <w:hyperlink r:id="rId12" w:history="1">
        <w:r w:rsidR="002F0DD8" w:rsidRPr="002F0DD8">
          <w:rPr>
            <w:rStyle w:val="Hypertextovodkaz"/>
            <w:rFonts w:eastAsia="FreeSans" w:cs="Arial"/>
            <w:color w:val="auto"/>
          </w:rPr>
          <w:t>BocekPa@szdc.cz</w:t>
        </w:r>
      </w:hyperlink>
    </w:p>
    <w:p w:rsidR="00262335" w:rsidRPr="002F0DD8" w:rsidRDefault="00262335" w:rsidP="002F0DD8">
      <w:pPr>
        <w:pStyle w:val="Odstavecseseznamem"/>
        <w:numPr>
          <w:ilvl w:val="0"/>
          <w:numId w:val="44"/>
        </w:numPr>
        <w:spacing w:before="96" w:after="0" w:line="240" w:lineRule="auto"/>
        <w:rPr>
          <w:rFonts w:eastAsia="FreeSans" w:cs="Arial"/>
        </w:rPr>
      </w:pPr>
      <w:r w:rsidRPr="002F0DD8">
        <w:rPr>
          <w:rFonts w:eastAsia="FreeSans" w:cs="Arial"/>
        </w:rPr>
        <w:t>za poskytovatele:</w:t>
      </w:r>
      <w:r w:rsidR="002F0DD8" w:rsidRPr="002F0DD8">
        <w:rPr>
          <w:rFonts w:eastAsia="FreeSans" w:cs="Arial"/>
        </w:rPr>
        <w:t xml:space="preserve"> </w:t>
      </w:r>
      <w:r w:rsidR="00820A4B">
        <w:rPr>
          <w:rFonts w:eastAsia="FreeSans" w:cs="Arial"/>
        </w:rPr>
        <w:tab/>
      </w:r>
      <w:r w:rsidR="00820A4B">
        <w:rPr>
          <w:rFonts w:eastAsia="FreeSans" w:cs="Arial"/>
        </w:rPr>
        <w:tab/>
      </w:r>
      <w:r w:rsidR="002F0DD8" w:rsidRPr="002F0DD8">
        <w:rPr>
          <w:rFonts w:eastAsia="FreeSans" w:cs="Arial"/>
        </w:rPr>
        <w:t>tel.:</w:t>
      </w:r>
      <w:r w:rsidR="00820A4B">
        <w:rPr>
          <w:rFonts w:eastAsia="FreeSans" w:cs="Arial"/>
        </w:rPr>
        <w:tab/>
      </w:r>
      <w:r w:rsidR="002F0DD8" w:rsidRPr="002F0DD8">
        <w:rPr>
          <w:rFonts w:eastAsia="FreeSans" w:cs="Arial"/>
        </w:rPr>
        <w:tab/>
      </w:r>
      <w:r w:rsidR="00820A4B">
        <w:rPr>
          <w:rFonts w:eastAsia="FreeSans" w:cs="Arial"/>
        </w:rPr>
        <w:t xml:space="preserve"> </w:t>
      </w:r>
      <w:r w:rsidR="00820A4B">
        <w:rPr>
          <w:rFonts w:eastAsia="FreeSans" w:cs="Arial"/>
        </w:rPr>
        <w:tab/>
        <w:t>,</w:t>
      </w:r>
      <w:r w:rsidR="002F0DD8" w:rsidRPr="002F0DD8">
        <w:rPr>
          <w:rFonts w:eastAsia="FreeSans" w:cs="Arial"/>
        </w:rPr>
        <w:t xml:space="preserve">email:                                 </w:t>
      </w:r>
    </w:p>
    <w:p w:rsidR="00262335" w:rsidRPr="005D0030" w:rsidRDefault="00262335" w:rsidP="00262335">
      <w:pPr>
        <w:spacing w:before="96"/>
        <w:jc w:val="center"/>
        <w:rPr>
          <w:rFonts w:cs="Arial"/>
        </w:rPr>
      </w:pPr>
    </w:p>
    <w:p w:rsidR="00820A4B" w:rsidRDefault="00820A4B" w:rsidP="00262335">
      <w:pPr>
        <w:spacing w:before="96"/>
        <w:jc w:val="center"/>
        <w:rPr>
          <w:rFonts w:cs="Arial"/>
          <w:b/>
          <w:bCs/>
        </w:rPr>
      </w:pPr>
    </w:p>
    <w:p w:rsidR="00262335" w:rsidRPr="005D0030" w:rsidRDefault="00262335" w:rsidP="00262335">
      <w:pPr>
        <w:spacing w:before="96"/>
        <w:jc w:val="center"/>
        <w:rPr>
          <w:rFonts w:cs="Arial"/>
          <w:b/>
          <w:bCs/>
        </w:rPr>
      </w:pPr>
      <w:r w:rsidRPr="005D0030">
        <w:rPr>
          <w:rFonts w:cs="Arial"/>
          <w:b/>
          <w:bCs/>
        </w:rPr>
        <w:t>Článek VII.</w:t>
      </w:r>
    </w:p>
    <w:p w:rsidR="00262335" w:rsidRPr="005D0030" w:rsidRDefault="00262335" w:rsidP="00262335">
      <w:pPr>
        <w:spacing w:before="96"/>
        <w:jc w:val="center"/>
        <w:rPr>
          <w:rFonts w:cs="Arial"/>
          <w:b/>
          <w:bCs/>
        </w:rPr>
      </w:pPr>
      <w:r w:rsidRPr="005D0030">
        <w:rPr>
          <w:rFonts w:cs="Arial"/>
          <w:b/>
          <w:bCs/>
        </w:rPr>
        <w:t>Doba trvání smlouvy</w:t>
      </w:r>
    </w:p>
    <w:p w:rsidR="00262335" w:rsidRPr="00E072C6" w:rsidRDefault="00262335" w:rsidP="00262335">
      <w:pPr>
        <w:numPr>
          <w:ilvl w:val="0"/>
          <w:numId w:val="34"/>
        </w:numPr>
        <w:tabs>
          <w:tab w:val="clear" w:pos="720"/>
          <w:tab w:val="num" w:pos="360"/>
        </w:tabs>
        <w:spacing w:before="96" w:after="0" w:line="240" w:lineRule="auto"/>
        <w:ind w:left="360"/>
        <w:jc w:val="both"/>
        <w:rPr>
          <w:rFonts w:cs="Arial"/>
        </w:rPr>
      </w:pPr>
      <w:r w:rsidRPr="005D0030">
        <w:rPr>
          <w:rFonts w:cs="Arial"/>
        </w:rPr>
        <w:t xml:space="preserve">Smlouva se uzavírá na dobu určitou, a to od </w:t>
      </w:r>
      <w:r w:rsidR="008C4595">
        <w:rPr>
          <w:rFonts w:cs="Arial"/>
          <w:b/>
        </w:rPr>
        <w:t>1. 5. 2020 do 30. 4. 2021</w:t>
      </w:r>
      <w:r w:rsidRPr="00E072C6">
        <w:rPr>
          <w:rFonts w:cs="Arial"/>
        </w:rPr>
        <w:t>.</w:t>
      </w:r>
    </w:p>
    <w:p w:rsidR="00262335" w:rsidRPr="005D0030" w:rsidRDefault="00262335" w:rsidP="00262335">
      <w:pPr>
        <w:numPr>
          <w:ilvl w:val="0"/>
          <w:numId w:val="34"/>
        </w:numPr>
        <w:tabs>
          <w:tab w:val="clear" w:pos="720"/>
          <w:tab w:val="num" w:pos="360"/>
        </w:tabs>
        <w:spacing w:before="96" w:after="0" w:line="240" w:lineRule="auto"/>
        <w:ind w:left="360"/>
        <w:jc w:val="both"/>
        <w:rPr>
          <w:rFonts w:cs="Arial"/>
        </w:rPr>
      </w:pPr>
      <w:r w:rsidRPr="005D0030">
        <w:rPr>
          <w:rFonts w:cs="Arial"/>
        </w:rPr>
        <w:t>Objednatel je oprávněn tuto Smlouvu písemně vypovědět bez udání důvodu s výpovědní dobou, která činí 3 (tři) měsíce. Výpovědní doba počíná běžet prvním dnem měsíce následujícím po měsíci, ve kterém byla výpověď doručena poskytovateli.</w:t>
      </w:r>
    </w:p>
    <w:p w:rsidR="00262335" w:rsidRPr="005D0030" w:rsidRDefault="00262335" w:rsidP="00262335">
      <w:pPr>
        <w:numPr>
          <w:ilvl w:val="0"/>
          <w:numId w:val="34"/>
        </w:numPr>
        <w:tabs>
          <w:tab w:val="clear" w:pos="720"/>
          <w:tab w:val="num" w:pos="360"/>
          <w:tab w:val="left" w:pos="5040"/>
        </w:tabs>
        <w:spacing w:before="96" w:after="0" w:line="240" w:lineRule="auto"/>
        <w:ind w:left="360"/>
        <w:jc w:val="both"/>
        <w:rPr>
          <w:rFonts w:cs="Arial"/>
        </w:rPr>
      </w:pPr>
      <w:r w:rsidRPr="005D0030">
        <w:rPr>
          <w:rFonts w:cs="Arial"/>
        </w:rPr>
        <w:t>Kterákoli ze smluvních stran je oprávněna od této smlouvy odstoupit z důvodu podstatného porušení smluvní povinnosti druhou smluvní stranou. Odstoupení od smlouvy musí být písemné a nabývá účinnosti dnem jejího doručení druhé smluvní straně.</w:t>
      </w:r>
    </w:p>
    <w:p w:rsidR="00262335" w:rsidRPr="005D0030" w:rsidRDefault="00262335" w:rsidP="00262335">
      <w:pPr>
        <w:numPr>
          <w:ilvl w:val="0"/>
          <w:numId w:val="34"/>
        </w:numPr>
        <w:tabs>
          <w:tab w:val="clear" w:pos="720"/>
          <w:tab w:val="num" w:pos="360"/>
          <w:tab w:val="left" w:pos="5040"/>
        </w:tabs>
        <w:spacing w:before="96" w:after="0" w:line="240" w:lineRule="auto"/>
        <w:ind w:left="360"/>
        <w:jc w:val="both"/>
        <w:rPr>
          <w:rFonts w:cs="Arial"/>
        </w:rPr>
      </w:pPr>
      <w:r w:rsidRPr="005D0030">
        <w:rPr>
          <w:rFonts w:cs="Arial"/>
        </w:rPr>
        <w:t>Za podstatné porušení smlouvy se považuje:</w:t>
      </w:r>
    </w:p>
    <w:p w:rsidR="00262335" w:rsidRPr="005D0030" w:rsidRDefault="00262335" w:rsidP="00262335">
      <w:pPr>
        <w:numPr>
          <w:ilvl w:val="1"/>
          <w:numId w:val="34"/>
        </w:numPr>
        <w:tabs>
          <w:tab w:val="clear" w:pos="1440"/>
          <w:tab w:val="num" w:pos="709"/>
          <w:tab w:val="left" w:pos="5040"/>
        </w:tabs>
        <w:spacing w:before="96" w:after="0" w:line="240" w:lineRule="auto"/>
        <w:ind w:left="709" w:hanging="283"/>
        <w:jc w:val="both"/>
        <w:rPr>
          <w:rFonts w:cs="Arial"/>
        </w:rPr>
      </w:pPr>
      <w:r w:rsidRPr="005D0030">
        <w:rPr>
          <w:rFonts w:cs="Arial"/>
        </w:rPr>
        <w:t>opakované neplnění předmětu smlouvy řádným způsobem;</w:t>
      </w:r>
    </w:p>
    <w:p w:rsidR="00262335" w:rsidRPr="005D0030" w:rsidRDefault="00262335" w:rsidP="00262335">
      <w:pPr>
        <w:numPr>
          <w:ilvl w:val="1"/>
          <w:numId w:val="34"/>
        </w:numPr>
        <w:tabs>
          <w:tab w:val="clear" w:pos="1440"/>
          <w:tab w:val="num" w:pos="709"/>
          <w:tab w:val="left" w:pos="5040"/>
        </w:tabs>
        <w:spacing w:before="96" w:after="0" w:line="240" w:lineRule="auto"/>
        <w:ind w:left="709" w:hanging="283"/>
        <w:jc w:val="both"/>
        <w:rPr>
          <w:rFonts w:cs="Arial"/>
        </w:rPr>
      </w:pPr>
      <w:r w:rsidRPr="005D0030">
        <w:rPr>
          <w:rFonts w:cs="Arial"/>
        </w:rPr>
        <w:t>přerušení nebo zastavení plnění dle této smlouvy;</w:t>
      </w:r>
    </w:p>
    <w:p w:rsidR="00262335" w:rsidRPr="005D0030" w:rsidRDefault="00262335" w:rsidP="00262335">
      <w:pPr>
        <w:numPr>
          <w:ilvl w:val="1"/>
          <w:numId w:val="34"/>
        </w:numPr>
        <w:tabs>
          <w:tab w:val="clear" w:pos="1440"/>
          <w:tab w:val="num" w:pos="709"/>
          <w:tab w:val="left" w:pos="5040"/>
        </w:tabs>
        <w:spacing w:before="96" w:after="0" w:line="240" w:lineRule="auto"/>
        <w:ind w:left="709" w:hanging="283"/>
        <w:jc w:val="both"/>
        <w:rPr>
          <w:rFonts w:cs="Arial"/>
        </w:rPr>
      </w:pPr>
      <w:r w:rsidRPr="005D0030">
        <w:rPr>
          <w:rFonts w:cs="Arial"/>
        </w:rPr>
        <w:t>ztráta oprávnění poskytovatele k provozování činnosti, která je předmětem této smlouvy;</w:t>
      </w:r>
    </w:p>
    <w:p w:rsidR="00262335" w:rsidRPr="005D0030" w:rsidRDefault="00262335" w:rsidP="00262335">
      <w:pPr>
        <w:numPr>
          <w:ilvl w:val="1"/>
          <w:numId w:val="34"/>
        </w:numPr>
        <w:tabs>
          <w:tab w:val="clear" w:pos="1440"/>
          <w:tab w:val="num" w:pos="709"/>
          <w:tab w:val="left" w:pos="5040"/>
        </w:tabs>
        <w:spacing w:before="96" w:after="0" w:line="240" w:lineRule="auto"/>
        <w:ind w:left="709" w:hanging="283"/>
        <w:jc w:val="both"/>
        <w:rPr>
          <w:rFonts w:cs="Arial"/>
        </w:rPr>
      </w:pPr>
      <w:r w:rsidRPr="005D0030">
        <w:rPr>
          <w:rFonts w:cs="Arial"/>
        </w:rPr>
        <w:t>opakované prodlení objednatele s uhrazením ceny po dobu delší než 14 dnů.</w:t>
      </w:r>
    </w:p>
    <w:p w:rsidR="00262335" w:rsidRPr="005D0030" w:rsidRDefault="00262335" w:rsidP="00262335">
      <w:pPr>
        <w:tabs>
          <w:tab w:val="left" w:pos="5040"/>
        </w:tabs>
        <w:spacing w:before="96"/>
        <w:rPr>
          <w:rFonts w:cs="Arial"/>
        </w:rPr>
      </w:pPr>
    </w:p>
    <w:p w:rsidR="00262335" w:rsidRPr="005D0030" w:rsidRDefault="00262335" w:rsidP="00262335">
      <w:pPr>
        <w:tabs>
          <w:tab w:val="left" w:pos="5040"/>
        </w:tabs>
        <w:spacing w:before="96"/>
        <w:jc w:val="center"/>
        <w:rPr>
          <w:rFonts w:cs="Arial"/>
          <w:b/>
          <w:bCs/>
        </w:rPr>
      </w:pPr>
      <w:r w:rsidRPr="005D0030">
        <w:rPr>
          <w:rFonts w:cs="Arial"/>
          <w:b/>
          <w:bCs/>
        </w:rPr>
        <w:t>Článek VIII.</w:t>
      </w:r>
    </w:p>
    <w:p w:rsidR="00262335" w:rsidRPr="005D0030" w:rsidRDefault="00262335" w:rsidP="00262335">
      <w:pPr>
        <w:tabs>
          <w:tab w:val="left" w:pos="5040"/>
        </w:tabs>
        <w:spacing w:before="96"/>
        <w:jc w:val="center"/>
        <w:rPr>
          <w:rFonts w:cs="Arial"/>
          <w:b/>
          <w:bCs/>
        </w:rPr>
      </w:pPr>
      <w:r w:rsidRPr="005D0030">
        <w:rPr>
          <w:rFonts w:cs="Arial"/>
          <w:b/>
          <w:bCs/>
        </w:rPr>
        <w:t>Závěrečná ustanovení</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Ustanovení neupravená touto smlouvou se řídí obecně platnými právními předpisy České republiky, zejména zákonem č. 89/2012 Sb., občanský zákoník, ve znění pozdějších předpisů.</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Změny a doplnění této smlouvy jsou možné pouze v písemné podobě a na základě vzájemné dohody obou smluvních stran.</w:t>
      </w:r>
      <w:r>
        <w:rPr>
          <w:rFonts w:cs="Arial"/>
        </w:rPr>
        <w:t xml:space="preserve"> Změna kontaktní osoby smluvní strany včetně jejích kontaktů se uskutečňuje písemným oznámením takové skutečnosti druhé smluvní straně bez nutnosti uzavření dodatku ke smlouvě.</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Tato smlouva se uzavírá ve čtyřech vyhotoveních, z nichž každá smluvní strana obdrží dvě vyhotovení.</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Smlouva nabývá platnosti dnem podpisu této smlouvy poslední smluvní stranou a účinnosti dnem uveřejnění v registru smluv.</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Smluvní strany berou na vědomí, že tato smlouva podléhá uveřejnění v registru smluv podle zákona č. 340/2015 Sb., o zvláštních podmínkách účinnosti některých smluv, uveřejňování těchto smluv a o registru smluv, ve znění pozdějších předpisů (zákon o registru smluv), a současně souhlasí se zveřejněním údajů o identifikaci smluvních stran, předmětu smlouvy, jeho ceně či hodnotě a datu uzavření této smlouvy.</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Zaslání smlouvy správci registru smluv k uveřejnění v registru smluv zajistí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Smluvní strany výslovně prohlašují, že údaje a další skutečnosti uvedené v této smlouvě nepovažují za obchodní tajemství ve smyslu ust. § 504 občanského zákoníku, a že se nejedná ani o informace, které nemohou být v registru smluv uveřejněny na základě ust. § 3 odst. 1 zákona o registru smluv.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Osoby uzavírající tuto smlouvu za smluvní strany souhlasí s uveřejněním svých osobních údajů, které jsou uvedeny v této smlouvě, spolu s touto smlouvou, v registru smluv. Tento souhlas je udělen na dobu neurčitou.</w:t>
      </w:r>
    </w:p>
    <w:p w:rsidR="00262335" w:rsidRPr="005D0030" w:rsidRDefault="00262335" w:rsidP="00262335">
      <w:pPr>
        <w:numPr>
          <w:ilvl w:val="0"/>
          <w:numId w:val="35"/>
        </w:numPr>
        <w:tabs>
          <w:tab w:val="clear" w:pos="720"/>
          <w:tab w:val="num" w:pos="360"/>
          <w:tab w:val="left" w:pos="5040"/>
        </w:tabs>
        <w:spacing w:before="96" w:after="0" w:line="240" w:lineRule="auto"/>
        <w:ind w:left="360"/>
        <w:jc w:val="both"/>
        <w:rPr>
          <w:rFonts w:cs="Arial"/>
        </w:rPr>
      </w:pPr>
      <w:r w:rsidRPr="005D0030">
        <w:rPr>
          <w:rFonts w:cs="Arial"/>
        </w:rPr>
        <w:t>Obě smluvní strany prohlašují, že si tuto smlouvu před podpisem přečetly, porozuměly jejímu obsahu, s obsahem souhlasí, a že je tato smlouva projevem jejich svobodné vůle.</w:t>
      </w:r>
    </w:p>
    <w:p w:rsidR="00262335" w:rsidRPr="005D0030" w:rsidRDefault="00262335" w:rsidP="00262335">
      <w:pPr>
        <w:tabs>
          <w:tab w:val="left" w:pos="5040"/>
        </w:tabs>
        <w:spacing w:before="96"/>
        <w:rPr>
          <w:rFonts w:cs="Arial"/>
        </w:rPr>
      </w:pPr>
    </w:p>
    <w:p w:rsidR="00262335" w:rsidRPr="005D0030" w:rsidRDefault="00262335" w:rsidP="00262335">
      <w:pPr>
        <w:tabs>
          <w:tab w:val="left" w:pos="5040"/>
        </w:tabs>
        <w:spacing w:before="96"/>
        <w:rPr>
          <w:rFonts w:cs="Arial"/>
        </w:rPr>
      </w:pPr>
      <w:r w:rsidRPr="005D0030">
        <w:rPr>
          <w:rFonts w:cs="Arial"/>
        </w:rPr>
        <w:t>PŘÍLOHY:</w:t>
      </w:r>
    </w:p>
    <w:p w:rsidR="00262335" w:rsidRPr="005D0030" w:rsidRDefault="00262335" w:rsidP="00262335">
      <w:pPr>
        <w:tabs>
          <w:tab w:val="left" w:pos="5040"/>
        </w:tabs>
        <w:spacing w:before="96"/>
        <w:rPr>
          <w:rFonts w:cs="Arial"/>
        </w:rPr>
      </w:pPr>
      <w:r w:rsidRPr="005D0030">
        <w:rPr>
          <w:rFonts w:cs="Arial"/>
        </w:rPr>
        <w:t>Příloha č. 1 – Rozsah požadované služby (oceněný položkový rozpočet)</w:t>
      </w:r>
    </w:p>
    <w:p w:rsidR="00262335" w:rsidRPr="005D0030" w:rsidRDefault="00262335" w:rsidP="00262335">
      <w:pPr>
        <w:tabs>
          <w:tab w:val="left" w:pos="5040"/>
        </w:tabs>
        <w:spacing w:before="96"/>
        <w:rPr>
          <w:rFonts w:cs="Arial"/>
        </w:rPr>
      </w:pPr>
      <w:r w:rsidRPr="005D0030">
        <w:rPr>
          <w:rFonts w:cs="Arial"/>
        </w:rPr>
        <w:t xml:space="preserve">Příloha č. 2 – Směrnice SŽDC č. 120 </w:t>
      </w:r>
    </w:p>
    <w:p w:rsidR="00262335" w:rsidRPr="005D0030" w:rsidRDefault="00262335" w:rsidP="00262335">
      <w:pPr>
        <w:tabs>
          <w:tab w:val="left" w:pos="5040"/>
        </w:tabs>
        <w:spacing w:before="96"/>
        <w:rPr>
          <w:rFonts w:cs="Arial"/>
        </w:rPr>
      </w:pPr>
    </w:p>
    <w:p w:rsidR="00262335" w:rsidRPr="005D0030" w:rsidRDefault="00262335" w:rsidP="00262335">
      <w:pPr>
        <w:tabs>
          <w:tab w:val="left" w:pos="5040"/>
        </w:tabs>
        <w:spacing w:before="96"/>
        <w:rPr>
          <w:rFonts w:cs="Arial"/>
        </w:rPr>
      </w:pPr>
    </w:p>
    <w:p w:rsidR="00262335" w:rsidRPr="005D0030" w:rsidRDefault="00262335" w:rsidP="00262335">
      <w:pPr>
        <w:tabs>
          <w:tab w:val="left" w:pos="5040"/>
        </w:tabs>
        <w:spacing w:before="96"/>
        <w:rPr>
          <w:rFonts w:cs="Arial"/>
        </w:rPr>
      </w:pPr>
    </w:p>
    <w:p w:rsidR="00262335" w:rsidRPr="005D0030" w:rsidRDefault="00262335" w:rsidP="00262335">
      <w:pPr>
        <w:tabs>
          <w:tab w:val="left" w:pos="5040"/>
        </w:tabs>
        <w:spacing w:before="96"/>
        <w:rPr>
          <w:rFonts w:cs="Arial"/>
        </w:rPr>
      </w:pPr>
      <w:r w:rsidRPr="005D0030">
        <w:rPr>
          <w:rFonts w:cs="Arial"/>
        </w:rPr>
        <w:t>Za objednatele:</w:t>
      </w:r>
      <w:r w:rsidRPr="005D0030">
        <w:rPr>
          <w:rFonts w:cs="Arial"/>
        </w:rPr>
        <w:tab/>
        <w:t>Za poskytovatele:</w:t>
      </w:r>
    </w:p>
    <w:p w:rsidR="00262335" w:rsidRPr="005D0030" w:rsidRDefault="00262335" w:rsidP="00262335">
      <w:pPr>
        <w:tabs>
          <w:tab w:val="left" w:pos="5040"/>
        </w:tabs>
        <w:spacing w:before="96" w:after="120" w:line="280" w:lineRule="atLeast"/>
        <w:rPr>
          <w:rFonts w:cs="Arial"/>
        </w:rPr>
      </w:pPr>
      <w:r w:rsidRPr="005D0030">
        <w:rPr>
          <w:rFonts w:cs="Arial"/>
        </w:rPr>
        <w:t>V Ústí nad Labem dne:</w:t>
      </w:r>
      <w:r w:rsidRPr="005D0030">
        <w:rPr>
          <w:rFonts w:cs="Arial"/>
        </w:rPr>
        <w:tab/>
        <w:t xml:space="preserve">V ………………….…….…… </w:t>
      </w:r>
      <w:r>
        <w:rPr>
          <w:rFonts w:cs="Arial"/>
        </w:rPr>
        <w:t>dne:</w:t>
      </w:r>
    </w:p>
    <w:p w:rsidR="00262335" w:rsidRPr="005D0030" w:rsidRDefault="00262335" w:rsidP="00262335">
      <w:pPr>
        <w:tabs>
          <w:tab w:val="left" w:pos="5040"/>
        </w:tabs>
        <w:spacing w:before="96" w:after="120" w:line="280" w:lineRule="atLeast"/>
        <w:rPr>
          <w:rFonts w:cs="Arial"/>
        </w:rPr>
      </w:pPr>
    </w:p>
    <w:p w:rsidR="00262335" w:rsidRPr="005D0030" w:rsidRDefault="00262335" w:rsidP="00262335">
      <w:pPr>
        <w:tabs>
          <w:tab w:val="left" w:pos="5040"/>
        </w:tabs>
        <w:spacing w:before="96" w:after="120" w:line="280" w:lineRule="atLeast"/>
        <w:rPr>
          <w:rFonts w:cs="Arial"/>
        </w:rPr>
      </w:pPr>
    </w:p>
    <w:p w:rsidR="00262335" w:rsidRPr="005D0030" w:rsidRDefault="00262335" w:rsidP="00262335">
      <w:pPr>
        <w:tabs>
          <w:tab w:val="left" w:pos="5040"/>
        </w:tabs>
        <w:spacing w:before="96" w:after="120" w:line="280" w:lineRule="atLeast"/>
        <w:rPr>
          <w:rFonts w:cs="Arial"/>
        </w:rPr>
      </w:pPr>
    </w:p>
    <w:p w:rsidR="00262335" w:rsidRPr="005D0030" w:rsidRDefault="00262335" w:rsidP="00262335">
      <w:pPr>
        <w:tabs>
          <w:tab w:val="left" w:pos="5040"/>
        </w:tabs>
        <w:spacing w:before="96"/>
        <w:rPr>
          <w:rFonts w:cs="Arial"/>
        </w:rPr>
      </w:pPr>
      <w:r w:rsidRPr="005D0030">
        <w:rPr>
          <w:rFonts w:cs="Arial"/>
          <w:b/>
        </w:rPr>
        <w:t>Ing. Martin Kašpar</w:t>
      </w:r>
      <w:r w:rsidRPr="005D0030">
        <w:rPr>
          <w:rFonts w:cs="Arial"/>
          <w:b/>
        </w:rPr>
        <w:tab/>
      </w:r>
    </w:p>
    <w:p w:rsidR="00E072C6" w:rsidRDefault="00262335" w:rsidP="00262335">
      <w:pPr>
        <w:tabs>
          <w:tab w:val="left" w:pos="5040"/>
        </w:tabs>
        <w:spacing w:after="0"/>
        <w:rPr>
          <w:rFonts w:cs="Arial"/>
        </w:rPr>
      </w:pPr>
      <w:r w:rsidRPr="005D0030">
        <w:rPr>
          <w:rFonts w:cs="Arial"/>
        </w:rPr>
        <w:t xml:space="preserve">ředitel </w:t>
      </w:r>
    </w:p>
    <w:p w:rsidR="00262335" w:rsidRPr="005D0030" w:rsidRDefault="00262335" w:rsidP="00262335">
      <w:pPr>
        <w:tabs>
          <w:tab w:val="left" w:pos="5040"/>
        </w:tabs>
        <w:spacing w:after="0"/>
        <w:rPr>
          <w:rFonts w:cs="Arial"/>
        </w:rPr>
      </w:pPr>
      <w:r w:rsidRPr="005D0030">
        <w:rPr>
          <w:rFonts w:cs="Arial"/>
        </w:rPr>
        <w:t>Oblastního ředitelství Ústí nad Labem</w:t>
      </w:r>
      <w:r w:rsidRPr="005D0030">
        <w:rPr>
          <w:rFonts w:cs="Arial"/>
        </w:rPr>
        <w:tab/>
      </w:r>
    </w:p>
    <w:p w:rsidR="00262335" w:rsidRPr="005D0030" w:rsidRDefault="00262335" w:rsidP="00262335">
      <w:pPr>
        <w:tabs>
          <w:tab w:val="left" w:pos="5040"/>
        </w:tabs>
        <w:spacing w:after="0"/>
        <w:jc w:val="both"/>
        <w:rPr>
          <w:rFonts w:cs="Arial"/>
        </w:rPr>
      </w:pPr>
      <w:r w:rsidRPr="005D0030">
        <w:rPr>
          <w:rFonts w:cs="Arial"/>
        </w:rPr>
        <w:tab/>
      </w:r>
    </w:p>
    <w:p w:rsidR="00262335" w:rsidRPr="005D0030" w:rsidRDefault="00262335" w:rsidP="00262335"/>
    <w:p w:rsidR="00262335" w:rsidRPr="005D0030" w:rsidRDefault="00262335" w:rsidP="00262335">
      <w:pPr>
        <w:tabs>
          <w:tab w:val="left" w:pos="5040"/>
        </w:tabs>
        <w:spacing w:before="96"/>
        <w:jc w:val="both"/>
        <w:rPr>
          <w:rFonts w:cs="Arial"/>
        </w:rPr>
      </w:pPr>
    </w:p>
    <w:p w:rsidR="00262335" w:rsidRPr="005D0030" w:rsidRDefault="00262335" w:rsidP="00262335">
      <w:pPr>
        <w:tabs>
          <w:tab w:val="left" w:pos="5040"/>
        </w:tabs>
        <w:spacing w:before="96"/>
        <w:jc w:val="both"/>
        <w:rPr>
          <w:rFonts w:cs="Arial"/>
        </w:rPr>
      </w:pPr>
    </w:p>
    <w:p w:rsidR="00262335" w:rsidRPr="00440A15" w:rsidRDefault="00262335" w:rsidP="00262335">
      <w:pPr>
        <w:tabs>
          <w:tab w:val="left" w:pos="5040"/>
        </w:tabs>
        <w:spacing w:before="96" w:after="0"/>
        <w:rPr>
          <w:rFonts w:cs="Arial"/>
        </w:rPr>
      </w:pPr>
      <w:r w:rsidRPr="005D0030">
        <w:rPr>
          <w:rFonts w:cs="Arial"/>
        </w:rPr>
        <w:t>Tato Smlouva byla uveřejněna pros</w:t>
      </w:r>
      <w:r>
        <w:rPr>
          <w:rFonts w:cs="Arial"/>
        </w:rPr>
        <w:t>třednictvím Registru smluv dne:</w:t>
      </w:r>
      <w:r w:rsidRPr="005D0030">
        <w:rPr>
          <w:rFonts w:cs="Arial"/>
        </w:rPr>
        <w:t>……………</w:t>
      </w:r>
      <w:r>
        <w:rPr>
          <w:rFonts w:cs="Arial"/>
        </w:rPr>
        <w:t>……………………………</w:t>
      </w:r>
    </w:p>
    <w:p w:rsidR="00262335" w:rsidRPr="00421AC9" w:rsidRDefault="00262335" w:rsidP="00262335"/>
    <w:p w:rsidR="009F392E" w:rsidRPr="00262335" w:rsidRDefault="009F392E" w:rsidP="00262335"/>
    <w:sectPr w:rsidR="009F392E" w:rsidRPr="00262335"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6D" w:rsidRDefault="002F6D6D" w:rsidP="00962258">
      <w:pPr>
        <w:spacing w:after="0" w:line="240" w:lineRule="auto"/>
      </w:pPr>
      <w:r>
        <w:separator/>
      </w:r>
    </w:p>
  </w:endnote>
  <w:endnote w:type="continuationSeparator" w:id="0">
    <w:p w:rsidR="002F6D6D" w:rsidRDefault="002F6D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C7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C70">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8F91D65" wp14:editId="08F91D6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91D67" wp14:editId="08F91D6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C7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C70">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8F91D6B" wp14:editId="08F91D6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8F91D6D" wp14:editId="08F91D6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6D" w:rsidRDefault="002F6D6D" w:rsidP="00962258">
      <w:pPr>
        <w:spacing w:after="0" w:line="240" w:lineRule="auto"/>
      </w:pPr>
      <w:r>
        <w:separator/>
      </w:r>
    </w:p>
  </w:footnote>
  <w:footnote w:type="continuationSeparator" w:id="0">
    <w:p w:rsidR="002F6D6D" w:rsidRDefault="002F6D6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8F91D69" wp14:editId="08F91D6A">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17D05"/>
    <w:multiLevelType w:val="hybridMultilevel"/>
    <w:tmpl w:val="0AA843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8E748B"/>
    <w:multiLevelType w:val="hybridMultilevel"/>
    <w:tmpl w:val="8482E50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24727499"/>
    <w:multiLevelType w:val="hybridMultilevel"/>
    <w:tmpl w:val="AB86A700"/>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F76403"/>
    <w:multiLevelType w:val="multilevel"/>
    <w:tmpl w:val="0D34D660"/>
    <w:numStyleLink w:val="ListBulletmultileve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EA80317"/>
    <w:multiLevelType w:val="hybridMultilevel"/>
    <w:tmpl w:val="5F605380"/>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8006234"/>
    <w:multiLevelType w:val="hybridMultilevel"/>
    <w:tmpl w:val="6BBC8472"/>
    <w:lvl w:ilvl="0" w:tplc="04050017">
      <w:start w:val="1"/>
      <w:numFmt w:val="lowerLetter"/>
      <w:lvlText w:val="%1)"/>
      <w:lvlJc w:val="left"/>
      <w:pPr>
        <w:ind w:left="927"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4D6433D1"/>
    <w:multiLevelType w:val="hybridMultilevel"/>
    <w:tmpl w:val="2976062A"/>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AAD62F8"/>
    <w:multiLevelType w:val="hybridMultilevel"/>
    <w:tmpl w:val="148EF60A"/>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2F81883"/>
    <w:multiLevelType w:val="hybridMultilevel"/>
    <w:tmpl w:val="2A8A33DC"/>
    <w:lvl w:ilvl="0" w:tplc="0405000F">
      <w:start w:val="1"/>
      <w:numFmt w:val="decimal"/>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87E7865"/>
    <w:multiLevelType w:val="hybridMultilevel"/>
    <w:tmpl w:val="256CE232"/>
    <w:lvl w:ilvl="0" w:tplc="04050017">
      <w:start w:val="1"/>
      <w:numFmt w:val="lowerLetter"/>
      <w:lvlText w:val="%1)"/>
      <w:lvlJc w:val="left"/>
      <w:pPr>
        <w:ind w:left="786"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6AAF0A8C"/>
    <w:multiLevelType w:val="multilevel"/>
    <w:tmpl w:val="0D34D660"/>
    <w:numStyleLink w:val="ListBulletmultilevel"/>
  </w:abstractNum>
  <w:abstractNum w:abstractNumId="17">
    <w:nsid w:val="6B487A34"/>
    <w:multiLevelType w:val="hybridMultilevel"/>
    <w:tmpl w:val="1E2ABCA8"/>
    <w:lvl w:ilvl="0" w:tplc="0405000F">
      <w:start w:val="1"/>
      <w:numFmt w:val="decimal"/>
      <w:lvlText w:val="%1."/>
      <w:lvlJc w:val="left"/>
      <w:pPr>
        <w:tabs>
          <w:tab w:val="num" w:pos="720"/>
        </w:tabs>
        <w:ind w:left="720" w:hanging="360"/>
      </w:pPr>
      <w:rPr>
        <w:rFonts w:cs="Times New Roman"/>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74070991"/>
    <w:multiLevelType w:val="multilevel"/>
    <w:tmpl w:val="CABE99FC"/>
    <w:numStyleLink w:val="ListNumbermultilevel"/>
  </w:abstractNum>
  <w:abstractNum w:abstractNumId="19">
    <w:nsid w:val="76F978F3"/>
    <w:multiLevelType w:val="hybridMultilevel"/>
    <w:tmpl w:val="256CE232"/>
    <w:lvl w:ilvl="0" w:tplc="04050017">
      <w:start w:val="1"/>
      <w:numFmt w:val="lowerLetter"/>
      <w:lvlText w:val="%1)"/>
      <w:lvlJc w:val="left"/>
      <w:pPr>
        <w:ind w:left="786"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num>
  <w:num w:numId="6">
    <w:abstractNumId w:val="7"/>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7"/>
  </w:num>
  <w:num w:numId="13">
    <w:abstractNumId w:val="7"/>
  </w:num>
  <w:num w:numId="14">
    <w:abstractNumId w:val="7"/>
  </w:num>
  <w:num w:numId="15">
    <w:abstractNumId w:val="7"/>
  </w:num>
  <w:num w:numId="16">
    <w:abstractNumId w:val="18"/>
  </w:num>
  <w:num w:numId="17">
    <w:abstractNumId w:val="3"/>
  </w:num>
  <w:num w:numId="18">
    <w:abstractNumId w:val="18"/>
  </w:num>
  <w:num w:numId="19">
    <w:abstractNumId w:val="18"/>
  </w:num>
  <w:num w:numId="20">
    <w:abstractNumId w:val="18"/>
  </w:num>
  <w:num w:numId="21">
    <w:abstractNumId w:val="18"/>
  </w:num>
  <w:num w:numId="22">
    <w:abstractNumId w:val="7"/>
  </w:num>
  <w:num w:numId="23">
    <w:abstractNumId w:val="1"/>
  </w:num>
  <w:num w:numId="24">
    <w:abstractNumId w:val="7"/>
  </w:num>
  <w:num w:numId="25">
    <w:abstractNumId w:val="7"/>
  </w:num>
  <w:num w:numId="26">
    <w:abstractNumId w:val="7"/>
  </w:num>
  <w:num w:numId="27">
    <w:abstractNumId w:val="7"/>
  </w:num>
  <w:num w:numId="28">
    <w:abstractNumId w:val="18"/>
  </w:num>
  <w:num w:numId="29">
    <w:abstractNumId w:val="3"/>
  </w:num>
  <w:num w:numId="30">
    <w:abstractNumId w:val="18"/>
  </w:num>
  <w:num w:numId="31">
    <w:abstractNumId w:val="18"/>
  </w:num>
  <w:num w:numId="32">
    <w:abstractNumId w:val="18"/>
  </w:num>
  <w:num w:numId="33">
    <w:abstractNumId w:val="18"/>
  </w:num>
  <w:num w:numId="34">
    <w:abstractNumId w:val="17"/>
  </w:num>
  <w:num w:numId="35">
    <w:abstractNumId w:val="5"/>
  </w:num>
  <w:num w:numId="36">
    <w:abstractNumId w:val="13"/>
  </w:num>
  <w:num w:numId="37">
    <w:abstractNumId w:val="11"/>
  </w:num>
  <w:num w:numId="38">
    <w:abstractNumId w:val="6"/>
  </w:num>
  <w:num w:numId="39">
    <w:abstractNumId w:val="2"/>
  </w:num>
  <w:num w:numId="40">
    <w:abstractNumId w:val="12"/>
  </w:num>
  <w:num w:numId="41">
    <w:abstractNumId w:val="14"/>
  </w:num>
  <w:num w:numId="42">
    <w:abstractNumId w:val="10"/>
  </w:num>
  <w:num w:numId="43">
    <w:abstractNumId w:val="15"/>
  </w:num>
  <w:num w:numId="44">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335"/>
    <w:rsid w:val="00072C1E"/>
    <w:rsid w:val="000E23A7"/>
    <w:rsid w:val="0010693F"/>
    <w:rsid w:val="00114472"/>
    <w:rsid w:val="001550BC"/>
    <w:rsid w:val="001605B9"/>
    <w:rsid w:val="00170EC5"/>
    <w:rsid w:val="001747C1"/>
    <w:rsid w:val="00184743"/>
    <w:rsid w:val="00197595"/>
    <w:rsid w:val="00207DF5"/>
    <w:rsid w:val="00262335"/>
    <w:rsid w:val="00280E07"/>
    <w:rsid w:val="002C31BF"/>
    <w:rsid w:val="002D08B1"/>
    <w:rsid w:val="002E0CD7"/>
    <w:rsid w:val="002F0DD8"/>
    <w:rsid w:val="002F6D6D"/>
    <w:rsid w:val="00341DCF"/>
    <w:rsid w:val="00357BC6"/>
    <w:rsid w:val="00373141"/>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37F94"/>
    <w:rsid w:val="00553375"/>
    <w:rsid w:val="00557C28"/>
    <w:rsid w:val="005736B7"/>
    <w:rsid w:val="00575E5A"/>
    <w:rsid w:val="005E4C70"/>
    <w:rsid w:val="005F1404"/>
    <w:rsid w:val="0061068E"/>
    <w:rsid w:val="00660AD3"/>
    <w:rsid w:val="00677B7F"/>
    <w:rsid w:val="006A5570"/>
    <w:rsid w:val="006A689C"/>
    <w:rsid w:val="006B3D79"/>
    <w:rsid w:val="006D7AFE"/>
    <w:rsid w:val="006E0578"/>
    <w:rsid w:val="006E232C"/>
    <w:rsid w:val="006E314D"/>
    <w:rsid w:val="00710723"/>
    <w:rsid w:val="00723ED1"/>
    <w:rsid w:val="00743525"/>
    <w:rsid w:val="0076286B"/>
    <w:rsid w:val="00766846"/>
    <w:rsid w:val="0077673A"/>
    <w:rsid w:val="007846E1"/>
    <w:rsid w:val="007A1EB8"/>
    <w:rsid w:val="007B570C"/>
    <w:rsid w:val="007C589B"/>
    <w:rsid w:val="007E4A6E"/>
    <w:rsid w:val="007F56A7"/>
    <w:rsid w:val="00807DD0"/>
    <w:rsid w:val="00820A4B"/>
    <w:rsid w:val="00842639"/>
    <w:rsid w:val="008659F3"/>
    <w:rsid w:val="00886D4B"/>
    <w:rsid w:val="00895406"/>
    <w:rsid w:val="008A3568"/>
    <w:rsid w:val="008C4595"/>
    <w:rsid w:val="008D03B9"/>
    <w:rsid w:val="008F18D6"/>
    <w:rsid w:val="00904780"/>
    <w:rsid w:val="00922385"/>
    <w:rsid w:val="009223DF"/>
    <w:rsid w:val="00923DE9"/>
    <w:rsid w:val="00936091"/>
    <w:rsid w:val="00940D8A"/>
    <w:rsid w:val="00962258"/>
    <w:rsid w:val="009678B7"/>
    <w:rsid w:val="00972204"/>
    <w:rsid w:val="009833E1"/>
    <w:rsid w:val="00992D9C"/>
    <w:rsid w:val="00996CB8"/>
    <w:rsid w:val="009B14A9"/>
    <w:rsid w:val="009B2E97"/>
    <w:rsid w:val="009E07F4"/>
    <w:rsid w:val="009E42F4"/>
    <w:rsid w:val="009F392E"/>
    <w:rsid w:val="00A03268"/>
    <w:rsid w:val="00A6177B"/>
    <w:rsid w:val="00A66136"/>
    <w:rsid w:val="00AA4CBB"/>
    <w:rsid w:val="00AA65FA"/>
    <w:rsid w:val="00AA7351"/>
    <w:rsid w:val="00AD056F"/>
    <w:rsid w:val="00AD6731"/>
    <w:rsid w:val="00B15D0D"/>
    <w:rsid w:val="00B61A7C"/>
    <w:rsid w:val="00B75EE1"/>
    <w:rsid w:val="00B77481"/>
    <w:rsid w:val="00B8518B"/>
    <w:rsid w:val="00BA5845"/>
    <w:rsid w:val="00BD7E91"/>
    <w:rsid w:val="00C02D0A"/>
    <w:rsid w:val="00C03A6E"/>
    <w:rsid w:val="00C14847"/>
    <w:rsid w:val="00C44F6A"/>
    <w:rsid w:val="00C47AE3"/>
    <w:rsid w:val="00C51BF9"/>
    <w:rsid w:val="00C564AB"/>
    <w:rsid w:val="00CD1FC4"/>
    <w:rsid w:val="00CF045C"/>
    <w:rsid w:val="00D21061"/>
    <w:rsid w:val="00D4108E"/>
    <w:rsid w:val="00D4452C"/>
    <w:rsid w:val="00D6163D"/>
    <w:rsid w:val="00D73D46"/>
    <w:rsid w:val="00D831A3"/>
    <w:rsid w:val="00DC75F3"/>
    <w:rsid w:val="00DD46F3"/>
    <w:rsid w:val="00DE56F2"/>
    <w:rsid w:val="00DF116D"/>
    <w:rsid w:val="00E072C6"/>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233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Zkladntext2">
    <w:name w:val="Základní text (2)_"/>
    <w:link w:val="Zkladntext20"/>
    <w:rsid w:val="00262335"/>
    <w:rPr>
      <w:rFonts w:ascii="Tahoma" w:eastAsia="Tahoma" w:hAnsi="Tahoma" w:cs="Tahoma"/>
      <w:shd w:val="clear" w:color="auto" w:fill="FFFFFF"/>
    </w:rPr>
  </w:style>
  <w:style w:type="paragraph" w:customStyle="1" w:styleId="Zkladntext20">
    <w:name w:val="Základní text (2)"/>
    <w:basedOn w:val="Normln"/>
    <w:link w:val="Zkladntext2"/>
    <w:rsid w:val="00262335"/>
    <w:pPr>
      <w:widowControl w:val="0"/>
      <w:shd w:val="clear" w:color="auto" w:fill="FFFFFF"/>
      <w:spacing w:after="0" w:line="241" w:lineRule="exact"/>
      <w:ind w:hanging="780"/>
    </w:pPr>
    <w:rPr>
      <w:rFonts w:ascii="Tahoma" w:eastAsia="Tahoma" w:hAnsi="Tahoma" w:cs="Tahoma"/>
    </w:rPr>
  </w:style>
  <w:style w:type="character" w:styleId="Odkaznakoment">
    <w:name w:val="annotation reference"/>
    <w:basedOn w:val="Standardnpsmoodstavce"/>
    <w:uiPriority w:val="99"/>
    <w:semiHidden/>
    <w:unhideWhenUsed/>
    <w:rsid w:val="00262335"/>
    <w:rPr>
      <w:sz w:val="16"/>
      <w:szCs w:val="16"/>
    </w:rPr>
  </w:style>
  <w:style w:type="paragraph" w:styleId="Textkomente">
    <w:name w:val="annotation text"/>
    <w:basedOn w:val="Normln"/>
    <w:link w:val="TextkomenteChar"/>
    <w:uiPriority w:val="99"/>
    <w:semiHidden/>
    <w:unhideWhenUsed/>
    <w:rsid w:val="0026233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262335"/>
    <w:rPr>
      <w:rFonts w:ascii="Times New Roman" w:eastAsia="Times New Roman" w:hAnsi="Times New Roman" w:cs="Times New Roman"/>
      <w:sz w:val="20"/>
      <w:szCs w:val="20"/>
      <w:lang w:eastAsia="cs-CZ"/>
    </w:rPr>
  </w:style>
  <w:style w:type="paragraph" w:customStyle="1" w:styleId="acnormal">
    <w:name w:val="ac_normal"/>
    <w:basedOn w:val="Normln"/>
    <w:link w:val="acnormalChar"/>
    <w:uiPriority w:val="99"/>
    <w:qFormat/>
    <w:rsid w:val="002623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62335"/>
    <w:rPr>
      <w:rFonts w:ascii="Calibri" w:eastAsia="Calibri" w:hAnsi="Calibri" w:cs="Times New Roman"/>
      <w:sz w:val="1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233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Zkladntext2">
    <w:name w:val="Základní text (2)_"/>
    <w:link w:val="Zkladntext20"/>
    <w:rsid w:val="00262335"/>
    <w:rPr>
      <w:rFonts w:ascii="Tahoma" w:eastAsia="Tahoma" w:hAnsi="Tahoma" w:cs="Tahoma"/>
      <w:shd w:val="clear" w:color="auto" w:fill="FFFFFF"/>
    </w:rPr>
  </w:style>
  <w:style w:type="paragraph" w:customStyle="1" w:styleId="Zkladntext20">
    <w:name w:val="Základní text (2)"/>
    <w:basedOn w:val="Normln"/>
    <w:link w:val="Zkladntext2"/>
    <w:rsid w:val="00262335"/>
    <w:pPr>
      <w:widowControl w:val="0"/>
      <w:shd w:val="clear" w:color="auto" w:fill="FFFFFF"/>
      <w:spacing w:after="0" w:line="241" w:lineRule="exact"/>
      <w:ind w:hanging="780"/>
    </w:pPr>
    <w:rPr>
      <w:rFonts w:ascii="Tahoma" w:eastAsia="Tahoma" w:hAnsi="Tahoma" w:cs="Tahoma"/>
    </w:rPr>
  </w:style>
  <w:style w:type="character" w:styleId="Odkaznakoment">
    <w:name w:val="annotation reference"/>
    <w:basedOn w:val="Standardnpsmoodstavce"/>
    <w:uiPriority w:val="99"/>
    <w:semiHidden/>
    <w:unhideWhenUsed/>
    <w:rsid w:val="00262335"/>
    <w:rPr>
      <w:sz w:val="16"/>
      <w:szCs w:val="16"/>
    </w:rPr>
  </w:style>
  <w:style w:type="paragraph" w:styleId="Textkomente">
    <w:name w:val="annotation text"/>
    <w:basedOn w:val="Normln"/>
    <w:link w:val="TextkomenteChar"/>
    <w:uiPriority w:val="99"/>
    <w:semiHidden/>
    <w:unhideWhenUsed/>
    <w:rsid w:val="0026233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262335"/>
    <w:rPr>
      <w:rFonts w:ascii="Times New Roman" w:eastAsia="Times New Roman" w:hAnsi="Times New Roman" w:cs="Times New Roman"/>
      <w:sz w:val="20"/>
      <w:szCs w:val="20"/>
      <w:lang w:eastAsia="cs-CZ"/>
    </w:rPr>
  </w:style>
  <w:style w:type="paragraph" w:customStyle="1" w:styleId="acnormal">
    <w:name w:val="ac_normal"/>
    <w:basedOn w:val="Normln"/>
    <w:link w:val="acnormalChar"/>
    <w:uiPriority w:val="99"/>
    <w:qFormat/>
    <w:rsid w:val="0026233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6233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93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BocekPa@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Documents\Dokumenty%202020\Nov&#233;%20dokumenty\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AA4A2-2F80-4F83-8B8B-2FD6E1A87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C30DFA60-EE1E-4F20-9981-5485AB44F04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F659753C-7294-47D7-B021-9B57743C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4</TotalTime>
  <Pages>7</Pages>
  <Words>2467</Words>
  <Characters>14559</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Martincová Leona</dc:creator>
  <cp:lastModifiedBy>Harvanová Radka, DiS.</cp:lastModifiedBy>
  <cp:revision>6</cp:revision>
  <cp:lastPrinted>2017-11-28T17:18:00Z</cp:lastPrinted>
  <dcterms:created xsi:type="dcterms:W3CDTF">2020-02-27T13:10:00Z</dcterms:created>
  <dcterms:modified xsi:type="dcterms:W3CDTF">2020-03-20T12:16:00Z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